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7" w:rsidRPr="00E00737" w:rsidRDefault="00E00737" w:rsidP="00E0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7">
        <w:rPr>
          <w:rFonts w:ascii="Times New Roman" w:hAnsi="Times New Roman" w:cs="Times New Roman"/>
          <w:b/>
          <w:sz w:val="28"/>
          <w:szCs w:val="28"/>
        </w:rPr>
        <w:t xml:space="preserve">О распространенных ошибках застройщиков </w:t>
      </w:r>
    </w:p>
    <w:p w:rsidR="00E00737" w:rsidRDefault="00E00737" w:rsidP="00E0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7">
        <w:rPr>
          <w:rFonts w:ascii="Times New Roman" w:hAnsi="Times New Roman" w:cs="Times New Roman"/>
          <w:b/>
          <w:sz w:val="28"/>
          <w:szCs w:val="28"/>
        </w:rPr>
        <w:t xml:space="preserve">при заполнении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Pr="00E00737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00737">
        <w:rPr>
          <w:rFonts w:ascii="Times New Roman" w:hAnsi="Times New Roman" w:cs="Times New Roman"/>
          <w:b/>
          <w:sz w:val="28"/>
          <w:szCs w:val="28"/>
        </w:rPr>
        <w:t>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 участия в долевом строительстве, сводной накопительной ведомости проекта строительства</w:t>
      </w:r>
    </w:p>
    <w:p w:rsidR="00E00737" w:rsidRDefault="00E00737" w:rsidP="00E00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37" w:rsidRPr="00E00737" w:rsidRDefault="00E00737" w:rsidP="00E0073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0737">
        <w:rPr>
          <w:rFonts w:ascii="Times New Roman" w:hAnsi="Times New Roman" w:cs="Times New Roman"/>
          <w:sz w:val="28"/>
          <w:szCs w:val="28"/>
        </w:rPr>
        <w:t xml:space="preserve">Отчетность застройщика подлежит предоставлению в контролирующий орган и размещению в </w:t>
      </w:r>
      <w:r w:rsidR="0067202A">
        <w:rPr>
          <w:rFonts w:ascii="Times New Roman" w:hAnsi="Times New Roman" w:cs="Times New Roman"/>
          <w:sz w:val="28"/>
          <w:szCs w:val="28"/>
        </w:rPr>
        <w:t>Единой информационной системе жилищного строительства (далее – ЕИСЖС)</w:t>
      </w:r>
      <w:r w:rsidRPr="00E0073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Минстроя России от 12.10.2018 № 656/</w:t>
      </w:r>
      <w:proofErr w:type="spellStart"/>
      <w:proofErr w:type="gramStart"/>
      <w:r w:rsidRPr="00E0073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00737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предоставления застройщиками в контролирующий орган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строительства».</w:t>
      </w:r>
    </w:p>
    <w:p w:rsidR="00E00737" w:rsidRPr="0067202A" w:rsidRDefault="00E00737" w:rsidP="00E0073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37">
        <w:rPr>
          <w:rFonts w:ascii="Times New Roman" w:hAnsi="Times New Roman" w:cs="Times New Roman"/>
          <w:sz w:val="28"/>
          <w:szCs w:val="28"/>
        </w:rPr>
        <w:t xml:space="preserve">Отчетность застройщика формируется на основе сведений, указанных застройщиком в проектных декларациях и иных документах, размещенных в личном </w:t>
      </w:r>
      <w:r w:rsidRPr="0067202A">
        <w:rPr>
          <w:rFonts w:ascii="Times New Roman" w:hAnsi="Times New Roman" w:cs="Times New Roman"/>
          <w:sz w:val="28"/>
          <w:szCs w:val="28"/>
        </w:rPr>
        <w:t>кабинете застройщика в ЕИСЖС по состоянию на последнюю отчетную дату соответствующего отчетного периода.</w:t>
      </w:r>
    </w:p>
    <w:p w:rsidR="00111CA2" w:rsidRDefault="0067202A" w:rsidP="00111C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2A">
        <w:rPr>
          <w:rFonts w:ascii="Times New Roman" w:hAnsi="Times New Roman" w:cs="Times New Roman"/>
          <w:sz w:val="28"/>
          <w:szCs w:val="28"/>
        </w:rPr>
        <w:t>При заполнении ежеквартальной отчетности об осуществлении деятельности, связанной с привлечением денежных средств участников долевого строительства застройщики допускают следующие ошибки:</w:t>
      </w:r>
    </w:p>
    <w:p w:rsidR="0067202A" w:rsidRPr="00253269" w:rsidRDefault="0067202A" w:rsidP="00111C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1CA2">
        <w:rPr>
          <w:rFonts w:ascii="Times New Roman" w:hAnsi="Times New Roman" w:cs="Times New Roman"/>
          <w:color w:val="auto"/>
          <w:sz w:val="28"/>
          <w:szCs w:val="28"/>
        </w:rPr>
        <w:t>В нарушение требований приказа Минстроя России от 12.10.2018 № 656/</w:t>
      </w:r>
      <w:proofErr w:type="spellStart"/>
      <w:proofErr w:type="gramStart"/>
      <w:r w:rsidRPr="00111CA2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11CA2" w:rsidRPr="00111CA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Сведения о многоквартирном доме и (или) ином объекте недвижимости, строящемся (создаваемом) застройщиком с привлечением денежных средств участников долевого строительства»</w:t>
      </w:r>
      <w:r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отчетности заполняется застройщиками некорректно, в частности, согласно пояснениям к </w:t>
      </w:r>
      <w:r w:rsidR="003664F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</w:rPr>
        <w:t xml:space="preserve">риказу, </w:t>
      </w:r>
      <w:r w:rsidR="00111CA2" w:rsidRPr="00111CA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данный раздел надлежит заполнять </w:t>
      </w:r>
      <w:r w:rsidR="00111CA2" w:rsidRPr="00111C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>отдельно по каждому из объектов недвижимости, в отношении которых выдано разрешение на строительство</w:t>
      </w:r>
      <w:r w:rsidR="00111CA2" w:rsidRPr="00111CA2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, в соответствии с данными </w:t>
      </w:r>
      <w:hyperlink r:id="rId7" w:anchor="block_1009" w:history="1">
        <w:r w:rsidR="00111CA2" w:rsidRPr="00111CA2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раздела 9</w:t>
        </w:r>
      </w:hyperlink>
      <w:r w:rsidR="00111CA2" w:rsidRPr="00111CA2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 xml:space="preserve"> проектной декларации</w:t>
      </w:r>
      <w:r w:rsidR="00111CA2"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заполненной застройщиком по форме, утвержденной </w:t>
      </w:r>
      <w:hyperlink r:id="rId8" w:history="1">
        <w:r w:rsidR="00111CA2" w:rsidRPr="00111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="00111CA2"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Минстроя России от 20.12.2016 № 996/</w:t>
      </w:r>
      <w:proofErr w:type="spellStart"/>
      <w:proofErr w:type="gramStart"/>
      <w:r w:rsidR="00111CA2"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</w:t>
      </w:r>
      <w:proofErr w:type="spellEnd"/>
      <w:proofErr w:type="gramEnd"/>
      <w:r w:rsidR="00111CA2"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«Об утверждении формы проектной декларации»,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</w:t>
      </w:r>
      <w:r w:rsidR="00253269" w:rsidRPr="002A39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>Под</w:t>
      </w:r>
      <w:r w:rsidR="00111CA2" w:rsidRPr="002A39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 xml:space="preserve"> объект</w:t>
      </w:r>
      <w:r w:rsidR="00362388" w:rsidRPr="002A39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>а</w:t>
      </w:r>
      <w:r w:rsidR="00111CA2" w:rsidRPr="002A39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>ми недвижимости, в отношении которых выдано разрешение на строительство, надлежит понимать</w:t>
      </w:r>
      <w:r w:rsidR="00362388" w:rsidRPr="002A39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 xml:space="preserve"> каждое из отдельно стоящих зданий, входящих в состав проекта строительства.</w:t>
      </w:r>
      <w:r w:rsid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Таким образом, если разрешением на строительство предусматривается строительство нескольких объектов недвижимости (т.е. </w:t>
      </w:r>
      <w:r w:rsid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несколько отдельно стоящих зданий, входящих в состав проекта строительства), раздел </w:t>
      </w:r>
      <w:r w:rsid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="00362388" w:rsidRP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6238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отчетности должен быть заполнен в отношении каждого </w:t>
      </w:r>
      <w:r w:rsidR="002532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 таких объектов недвижимости, вне зависимости о того, как застройщик планирует сдавать объекты недвижимости в эксплуатацию – одновременно или поочередно (отдельными этапами).</w:t>
      </w:r>
      <w:proofErr w:type="gramEnd"/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Однако</w:t>
      </w:r>
      <w:r w:rsidR="002A39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всеми застройщиками раздел </w:t>
      </w:r>
      <w:r w:rsidR="002A39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="002A39B4" w:rsidRPr="002A39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A39B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отчетности заполняется в отношении каждого объекта недвижимости, входящего в состав проекта строительства, вследствие чего </w:t>
      </w:r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заполнении раздела </w:t>
      </w:r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="00AE4192" w:rsidRP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отчетности застройщики ошибочно объединяют данные о нескольких объектах недвижимости, входящих в состав проекта строительства, что приводит к искажению информации и невозможности их проверки контролирующим органом (например, в отношении количества заключенных договоров участия в долевом строительстве и</w:t>
      </w:r>
      <w:proofErr w:type="gramEnd"/>
      <w:r w:rsidR="00AE419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суммы обязательств по договорам);</w:t>
      </w:r>
    </w:p>
    <w:p w:rsidR="00253269" w:rsidRPr="005F0194" w:rsidRDefault="00AE4192" w:rsidP="00111C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 xml:space="preserve">При заполнении графы 3.4 «Дата и номер регистрации права на земельный участок в Едином государственном реестре недвижимости» раздела </w:t>
      </w:r>
      <w:r w:rsidRPr="005F01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194">
        <w:rPr>
          <w:rFonts w:ascii="Times New Roman" w:hAnsi="Times New Roman" w:cs="Times New Roman"/>
          <w:sz w:val="28"/>
          <w:szCs w:val="28"/>
        </w:rPr>
        <w:t xml:space="preserve"> </w:t>
      </w:r>
      <w:r w:rsidR="0012311A" w:rsidRPr="005F0194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5F0194" w:rsidRPr="005F0194">
        <w:rPr>
          <w:rFonts w:ascii="Times New Roman" w:hAnsi="Times New Roman" w:cs="Times New Roman"/>
          <w:sz w:val="28"/>
          <w:szCs w:val="28"/>
        </w:rPr>
        <w:t>часто отсутствует</w:t>
      </w:r>
      <w:r w:rsidR="0012311A" w:rsidRPr="005F0194">
        <w:rPr>
          <w:rFonts w:ascii="Times New Roman" w:hAnsi="Times New Roman" w:cs="Times New Roman"/>
          <w:sz w:val="28"/>
          <w:szCs w:val="28"/>
        </w:rPr>
        <w:t xml:space="preserve"> номер регистрации права на земельный участок в ЕГРН</w:t>
      </w:r>
      <w:r w:rsidR="005F0194" w:rsidRPr="005F0194">
        <w:rPr>
          <w:rFonts w:ascii="Times New Roman" w:hAnsi="Times New Roman" w:cs="Times New Roman"/>
          <w:sz w:val="28"/>
          <w:szCs w:val="28"/>
        </w:rPr>
        <w:t xml:space="preserve">, в связи с тем, что указанная графа заполняется </w:t>
      </w:r>
      <w:r w:rsidR="005F0194" w:rsidRPr="005F0194">
        <w:rPr>
          <w:rFonts w:ascii="Times New Roman" w:hAnsi="Times New Roman" w:cs="Times New Roman"/>
          <w:b/>
          <w:bCs/>
          <w:sz w:val="28"/>
          <w:szCs w:val="28"/>
        </w:rPr>
        <w:t xml:space="preserve">автоматически </w:t>
      </w:r>
      <w:r w:rsidR="005F0194" w:rsidRPr="005F0194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сведениями, указанными застройщиком в разделе 12 проектной декларации. Таким образом, отсутствие </w:t>
      </w:r>
      <w:r w:rsidR="003D022D" w:rsidRPr="003D022D">
        <w:rPr>
          <w:rFonts w:ascii="Times New Roman" w:hAnsi="Times New Roman" w:cs="Times New Roman"/>
          <w:sz w:val="28"/>
          <w:szCs w:val="28"/>
        </w:rPr>
        <w:t xml:space="preserve"> </w:t>
      </w:r>
      <w:r w:rsidR="003D022D">
        <w:rPr>
          <w:rFonts w:ascii="Times New Roman" w:hAnsi="Times New Roman" w:cs="Times New Roman"/>
          <w:sz w:val="28"/>
          <w:szCs w:val="28"/>
        </w:rPr>
        <w:t xml:space="preserve">в разделе 12 проектной декларации </w:t>
      </w:r>
      <w:r w:rsidR="005F0194" w:rsidRPr="005F0194">
        <w:rPr>
          <w:rFonts w:ascii="Times New Roman" w:hAnsi="Times New Roman" w:cs="Times New Roman"/>
          <w:sz w:val="28"/>
          <w:szCs w:val="28"/>
        </w:rPr>
        <w:t xml:space="preserve">сведений о номере регистрации земельного участка в ЕГРН приводит к </w:t>
      </w:r>
      <w:r w:rsidR="005F0194">
        <w:rPr>
          <w:rFonts w:ascii="Times New Roman" w:hAnsi="Times New Roman" w:cs="Times New Roman"/>
          <w:sz w:val="28"/>
          <w:szCs w:val="28"/>
        </w:rPr>
        <w:t>некорректному отображению информации</w:t>
      </w:r>
      <w:r w:rsidR="005F0194" w:rsidRPr="005F0194">
        <w:rPr>
          <w:rFonts w:ascii="Times New Roman" w:hAnsi="Times New Roman" w:cs="Times New Roman"/>
          <w:sz w:val="28"/>
          <w:szCs w:val="28"/>
        </w:rPr>
        <w:t xml:space="preserve"> </w:t>
      </w:r>
      <w:r w:rsidR="005F019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F0194" w:rsidRPr="005F0194">
        <w:rPr>
          <w:rFonts w:ascii="Times New Roman" w:hAnsi="Times New Roman" w:cs="Times New Roman"/>
          <w:sz w:val="28"/>
          <w:szCs w:val="28"/>
        </w:rPr>
        <w:t>3.4 отчетности</w:t>
      </w:r>
      <w:r w:rsidR="0012311A" w:rsidRPr="005F0194">
        <w:rPr>
          <w:rFonts w:ascii="Times New Roman" w:hAnsi="Times New Roman" w:cs="Times New Roman"/>
          <w:sz w:val="28"/>
          <w:szCs w:val="28"/>
        </w:rPr>
        <w:t>;</w:t>
      </w:r>
    </w:p>
    <w:p w:rsidR="0012311A" w:rsidRDefault="0012311A" w:rsidP="00111C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94">
        <w:rPr>
          <w:rFonts w:ascii="Times New Roman" w:hAnsi="Times New Roman" w:cs="Times New Roman"/>
          <w:sz w:val="28"/>
          <w:szCs w:val="28"/>
        </w:rPr>
        <w:t xml:space="preserve">При заполнении подраздела 4 «Информация о разрешении на строительство» раздела </w:t>
      </w:r>
      <w:r w:rsidRPr="005F01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194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5F0194" w:rsidRPr="005F0194">
        <w:rPr>
          <w:rFonts w:ascii="Times New Roman" w:hAnsi="Times New Roman" w:cs="Times New Roman"/>
          <w:sz w:val="28"/>
          <w:szCs w:val="28"/>
        </w:rPr>
        <w:t xml:space="preserve">в графах 4.3 «Первоначальный срок действия разрешения на строительство», 4.4.1 «Дата внесения изменений в разрешение на строительство», 4.4.2 «Краткое описание внесенных изменений», 4.5.1 «Новый срок действия разрешения на строительство», 4.5.2 «Информация о продлении срока действия разрешения на строительство» </w:t>
      </w:r>
      <w:r w:rsidR="005F0194" w:rsidRPr="005F0194">
        <w:rPr>
          <w:rFonts w:ascii="Times New Roman" w:hAnsi="Times New Roman" w:cs="Times New Roman"/>
          <w:b/>
          <w:bCs/>
          <w:sz w:val="28"/>
          <w:szCs w:val="28"/>
        </w:rPr>
        <w:t xml:space="preserve">вручную указываются </w:t>
      </w:r>
      <w:r w:rsidR="005F0194" w:rsidRPr="005F0194">
        <w:rPr>
          <w:rFonts w:ascii="Times New Roman" w:hAnsi="Times New Roman" w:cs="Times New Roman"/>
          <w:sz w:val="28"/>
          <w:szCs w:val="28"/>
        </w:rPr>
        <w:t>соответствующие сведения в случае внесения изменений в первоначальное</w:t>
      </w:r>
      <w:proofErr w:type="gramEnd"/>
      <w:r w:rsidR="005F0194" w:rsidRPr="005F0194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 продления срока действия первоначального разрешения на строительство. </w:t>
      </w:r>
      <w:r w:rsidR="005F0194" w:rsidRPr="00B556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графе 4.3 указывается срок действия разрешения на строительство </w:t>
      </w:r>
      <w:r w:rsidR="005F0194" w:rsidRPr="00B55666">
        <w:rPr>
          <w:rFonts w:ascii="Times New Roman" w:hAnsi="Times New Roman" w:cs="Times New Roman"/>
          <w:b/>
          <w:i/>
          <w:sz w:val="32"/>
          <w:szCs w:val="28"/>
          <w:u w:val="single"/>
        </w:rPr>
        <w:t>до внесения изменений в него</w:t>
      </w:r>
      <w:r w:rsidR="005F0194" w:rsidRPr="00B5566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F0194">
        <w:rPr>
          <w:rFonts w:ascii="Times New Roman" w:hAnsi="Times New Roman" w:cs="Times New Roman"/>
          <w:sz w:val="28"/>
          <w:szCs w:val="28"/>
        </w:rPr>
        <w:t xml:space="preserve"> В нарушение указанных требований застройщики ошибочно указывают </w:t>
      </w:r>
      <w:r w:rsidR="00B55666">
        <w:rPr>
          <w:rFonts w:ascii="Times New Roman" w:hAnsi="Times New Roman" w:cs="Times New Roman"/>
          <w:sz w:val="28"/>
          <w:szCs w:val="28"/>
        </w:rPr>
        <w:t>в графе 4.3 данные о сроке действия разрешения на строительство с учетом его продления, что приводит к неправильному заполнению граф 4.4.1, 4.4.2, 4.5.1, 4.5.2</w:t>
      </w:r>
      <w:r w:rsidR="002875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87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5E0" w:rsidRPr="002875E0">
        <w:rPr>
          <w:rFonts w:ascii="Times New Roman" w:hAnsi="Times New Roman" w:cs="Times New Roman"/>
          <w:sz w:val="28"/>
          <w:szCs w:val="28"/>
        </w:rPr>
        <w:t xml:space="preserve"> </w:t>
      </w:r>
      <w:r w:rsidR="002875E0">
        <w:rPr>
          <w:rFonts w:ascii="Times New Roman" w:hAnsi="Times New Roman" w:cs="Times New Roman"/>
          <w:sz w:val="28"/>
          <w:szCs w:val="28"/>
        </w:rPr>
        <w:t>отчетности</w:t>
      </w:r>
      <w:r w:rsidR="00B55666">
        <w:rPr>
          <w:rFonts w:ascii="Times New Roman" w:hAnsi="Times New Roman" w:cs="Times New Roman"/>
          <w:sz w:val="28"/>
          <w:szCs w:val="28"/>
        </w:rPr>
        <w:t>;</w:t>
      </w:r>
    </w:p>
    <w:p w:rsidR="00A0616F" w:rsidRDefault="002875E0" w:rsidP="00A0616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5E0">
        <w:rPr>
          <w:rFonts w:ascii="Times New Roman" w:hAnsi="Times New Roman" w:cs="Times New Roman"/>
          <w:sz w:val="28"/>
          <w:szCs w:val="28"/>
        </w:rPr>
        <w:t xml:space="preserve">В графах 5.1.2 «Жилые помещения: площадь (кв. м)», 5.2.2 «Нежилые помещения: площадь (кв. м)» и 5.3.2 «Машино-места: площадь (кв. м)» раздела </w:t>
      </w:r>
      <w:r w:rsidRPr="002875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75E0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Pr="002875E0">
        <w:rPr>
          <w:rFonts w:ascii="Times New Roman" w:hAnsi="Times New Roman" w:cs="Times New Roman"/>
          <w:b/>
          <w:bCs/>
          <w:sz w:val="28"/>
          <w:szCs w:val="28"/>
        </w:rPr>
        <w:t xml:space="preserve">надлежит указывать </w:t>
      </w:r>
      <w:r w:rsidRPr="002875E0">
        <w:rPr>
          <w:rFonts w:ascii="Times New Roman" w:hAnsi="Times New Roman" w:cs="Times New Roman"/>
          <w:sz w:val="28"/>
          <w:szCs w:val="28"/>
        </w:rPr>
        <w:t xml:space="preserve">значения площадей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2875E0">
        <w:rPr>
          <w:rFonts w:ascii="Times New Roman" w:hAnsi="Times New Roman" w:cs="Times New Roman"/>
          <w:sz w:val="28"/>
          <w:szCs w:val="28"/>
        </w:rPr>
        <w:t xml:space="preserve">нежилых помещений и </w:t>
      </w:r>
      <w:proofErr w:type="spellStart"/>
      <w:r w:rsidRPr="002875E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875E0">
        <w:rPr>
          <w:rFonts w:ascii="Times New Roman" w:hAnsi="Times New Roman" w:cs="Times New Roman"/>
          <w:sz w:val="28"/>
          <w:szCs w:val="28"/>
        </w:rPr>
        <w:t>-мест,</w:t>
      </w:r>
      <w:r>
        <w:rPr>
          <w:rFonts w:ascii="Times New Roman" w:hAnsi="Times New Roman" w:cs="Times New Roman"/>
          <w:sz w:val="28"/>
          <w:szCs w:val="28"/>
        </w:rPr>
        <w:t xml:space="preserve"> которые застройщик реализует по договорам участия в долевом строительстве,</w:t>
      </w:r>
      <w:r w:rsidRPr="002875E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875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данные </w:t>
      </w:r>
      <w:r w:rsidR="00EA0B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площадях жилых и нежилых помещений, </w:t>
      </w:r>
      <w:proofErr w:type="spellStart"/>
      <w:r w:rsidR="00EA0BAF">
        <w:rPr>
          <w:rFonts w:ascii="Times New Roman" w:hAnsi="Times New Roman" w:cs="Times New Roman"/>
          <w:b/>
          <w:i/>
          <w:sz w:val="28"/>
          <w:szCs w:val="28"/>
          <w:u w:val="single"/>
        </w:rPr>
        <w:t>машино</w:t>
      </w:r>
      <w:proofErr w:type="spellEnd"/>
      <w:r w:rsidR="00EA0BAF">
        <w:rPr>
          <w:rFonts w:ascii="Times New Roman" w:hAnsi="Times New Roman" w:cs="Times New Roman"/>
          <w:b/>
          <w:i/>
          <w:sz w:val="28"/>
          <w:szCs w:val="28"/>
          <w:u w:val="single"/>
        </w:rPr>
        <w:t>-мест, реализуемых застройщиком по договорам участия в долевом строительстве</w:t>
      </w:r>
      <w:proofErr w:type="gramEnd"/>
      <w:r w:rsidR="00EA0B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2875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должны соответствовать кратким техническим характеристикам </w:t>
      </w:r>
      <w:r w:rsidRPr="002875E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объекта, указанным в разрешении на строительство, а также </w:t>
      </w:r>
      <w:r w:rsidRPr="002875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 xml:space="preserve">данными </w:t>
      </w:r>
      <w:hyperlink r:id="rId9" w:anchor="block_1009" w:history="1">
        <w:r w:rsidRPr="002875E0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shd w:val="clear" w:color="auto" w:fill="FFFFFF"/>
          </w:rPr>
          <w:t>раздела 9</w:t>
        </w:r>
      </w:hyperlink>
      <w:r w:rsidRPr="002875E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shd w:val="clear" w:color="auto" w:fill="FFFFFF"/>
        </w:rPr>
        <w:t xml:space="preserve"> проектной декларации</w:t>
      </w:r>
      <w:r w:rsidRPr="00287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заполненной застройщиком по форме, утвержденной </w:t>
      </w:r>
      <w:hyperlink r:id="rId10" w:history="1">
        <w:r w:rsidRPr="002875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287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Минстроя России от 20.12.2016 № 996/</w:t>
      </w:r>
      <w:proofErr w:type="spellStart"/>
      <w:proofErr w:type="gramStart"/>
      <w:r w:rsidRPr="002875E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EA0B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однако в ходе сравнительного анализа данных отчетности, проектной декларации и разрешения на строительства контролирующим органом часто выявляется значительное расхождение относительно площадей жилых и нежилых помещений и </w:t>
      </w:r>
      <w:proofErr w:type="spellStart"/>
      <w:r w:rsidR="00EA0B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машино</w:t>
      </w:r>
      <w:proofErr w:type="spellEnd"/>
      <w:r w:rsidR="00EA0BA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-мест.</w:t>
      </w:r>
      <w:r w:rsidR="003664F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A0BAF" w:rsidRPr="003664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застройщики ошибочно включают в сумму площади нежилых помещений, площади нежилых помещений общественного назначения, в отношении которых застройщиком не могут заключаться договоры участия в долевом строительстве (тамбуры, лестничные клетки и т.д.), </w:t>
      </w:r>
      <w:r w:rsidR="003664F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что приводит к искажению информации и неправильному заполнению графы 5.2.2 отчетности; </w:t>
      </w:r>
    </w:p>
    <w:p w:rsidR="00A0616F" w:rsidRPr="00A016A5" w:rsidRDefault="00A0616F" w:rsidP="00A016A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A5">
        <w:rPr>
          <w:rFonts w:ascii="Times New Roman" w:hAnsi="Times New Roman" w:cs="Times New Roman"/>
          <w:sz w:val="28"/>
          <w:szCs w:val="28"/>
        </w:rPr>
        <w:t xml:space="preserve">Графа 6 «Планируемая стоимость строительства (создания) объекта недвижимости, указанная в проектной декларации по состоянию на дату получения заключения о соответствии 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застройщика и проектной декларации требованиям законодательства о долевом строительстве (млн. рублей)» раздела </w:t>
      </w:r>
      <w:r w:rsidRPr="00A016A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 заполняется автоматически (с возможностью изменения) в соответствии со значением проектной стоимости строительства, указанной застройщиком в разделе 18.1.1 </w:t>
      </w:r>
      <w:r w:rsidR="00A016A5">
        <w:rPr>
          <w:rFonts w:ascii="Times New Roman" w:hAnsi="Times New Roman" w:cs="Times New Roman"/>
          <w:color w:val="auto"/>
          <w:sz w:val="28"/>
          <w:szCs w:val="28"/>
        </w:rPr>
        <w:t>проектной декларации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дату получения заключения о</w:t>
      </w:r>
      <w:proofErr w:type="gramEnd"/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застройщика и проектной декларации требованиям законодательства о долевом строительстве, при этом, </w:t>
      </w:r>
      <w:r w:rsidRPr="00A016A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если </w:t>
      </w:r>
      <w:r w:rsidR="00A016A5" w:rsidRPr="00A016A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заключение соответствии застройщика и проектной декларации требованиям законодательства о долевом строительстве комитетом не выдавалось ввиду отсутствия оснований,</w:t>
      </w:r>
      <w:r w:rsidRPr="00A016A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в данной графе надлежит указывать планируемую стоимость строительства в соответствии с данными первой проектной декларации, размещенной на официальном сайте застройщика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Однако застройщики ошибочно указывают в данной графе сведения о проектной стоимости строительства по состоянию на ту дату, когда проектная декларация впервые размещена застройщиком в ЕИСЖС</w:t>
      </w:r>
      <w:r w:rsidR="00A016A5" w:rsidRPr="00A016A5">
        <w:rPr>
          <w:rFonts w:ascii="Times New Roman" w:hAnsi="Times New Roman" w:cs="Times New Roman"/>
          <w:color w:val="auto"/>
          <w:sz w:val="28"/>
          <w:szCs w:val="28"/>
        </w:rPr>
        <w:t>, при этом на момент первичного размещения проектной декларации в ЕИСЖС проектная стоимость уже изменилась (увеличилась или уменьшилась)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74381" w:rsidRDefault="00A016A5" w:rsidP="00A743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Данные г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>раф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7 «Проектная стоимость по состоянию на начало отчетного периода (млн. рублей)» раздела </w:t>
      </w:r>
      <w:r w:rsidRPr="00A016A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 </w:t>
      </w:r>
      <w:r w:rsidRPr="00A016A5">
        <w:rPr>
          <w:rFonts w:ascii="Times New Roman" w:hAnsi="Times New Roman" w:cs="Times New Roman"/>
          <w:bCs/>
          <w:color w:val="auto"/>
          <w:sz w:val="28"/>
          <w:szCs w:val="28"/>
        </w:rPr>
        <w:t>заполня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A016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тся автоматически (с возможностью изменения) 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сведениями, указанными в разделе 18.1.1 проектной декларации по состоянию на начало соответствующего отчетного периода, </w:t>
      </w:r>
      <w:r w:rsidR="004A23C3">
        <w:rPr>
          <w:rFonts w:ascii="Times New Roman" w:hAnsi="Times New Roman" w:cs="Times New Roman"/>
          <w:color w:val="auto"/>
          <w:sz w:val="28"/>
          <w:szCs w:val="28"/>
        </w:rPr>
        <w:t>а также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016A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соответствовать данным графы 9 «</w:t>
      </w:r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Проектная стоимость строительства по состоянию на последнюю календарную дату отчетного периода (млн. рублей)» раздела </w:t>
      </w:r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proofErr w:type="gramEnd"/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отчетности</w:t>
      </w:r>
      <w:r w:rsidR="004A2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заполненной</w:t>
      </w:r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пред</w:t>
      </w:r>
      <w:r w:rsidR="004A2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последний </w:t>
      </w:r>
      <w:r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отчетный период,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однако</w:t>
      </w:r>
      <w:r w:rsidR="004A2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ходе сравнительного анализа контролирующим органом выявляется несоответствие данных, указанных в графе 9 </w:t>
      </w:r>
      <w:r w:rsidR="004A23C3" w:rsidRPr="00A016A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A23C3"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Проектная стоимость строительства по состоянию на последнюю календарную дату отчетного </w:t>
      </w:r>
      <w:r w:rsidR="004A23C3" w:rsidRPr="00A016A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периода (млн. рублей)»</w:t>
      </w:r>
      <w:r w:rsidR="004A23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отчетности, заполненной за предпоследний отчетный период, и данных, указанных в графе </w:t>
      </w:r>
      <w:r w:rsidR="004A23C3" w:rsidRPr="00A016A5">
        <w:rPr>
          <w:rFonts w:ascii="Times New Roman" w:hAnsi="Times New Roman" w:cs="Times New Roman"/>
          <w:color w:val="auto"/>
          <w:sz w:val="28"/>
          <w:szCs w:val="28"/>
        </w:rPr>
        <w:t>«Проектная стоимость по состоянию на начало отчетного периода (млн. рублей)»</w:t>
      </w:r>
      <w:r w:rsidR="004A23C3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отчетности, заполненной застройщиком за последний отчетный</w:t>
      </w:r>
      <w:proofErr w:type="gramEnd"/>
      <w:r w:rsidR="004A23C3">
        <w:rPr>
          <w:rFonts w:ascii="Times New Roman" w:hAnsi="Times New Roman" w:cs="Times New Roman"/>
          <w:color w:val="auto"/>
          <w:sz w:val="28"/>
          <w:szCs w:val="28"/>
        </w:rPr>
        <w:t xml:space="preserve"> период;</w:t>
      </w:r>
    </w:p>
    <w:p w:rsidR="00521B3C" w:rsidRDefault="00A74381" w:rsidP="00A7438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4381">
        <w:rPr>
          <w:rFonts w:ascii="Times New Roman" w:hAnsi="Times New Roman" w:cs="Times New Roman"/>
          <w:color w:val="auto"/>
          <w:sz w:val="28"/>
          <w:szCs w:val="28"/>
        </w:rPr>
        <w:t xml:space="preserve">В графе 12.1 «Сумма денежных средств участников долевого строительства, привлеченных застройщиком по ДДУ на первую календарную дату отчетного периода (млн. рублей)» раздела </w:t>
      </w:r>
      <w:r w:rsidRPr="00A7438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A74381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отчетности, заполняемой за последний отчетный период, надлежит указывать данные, аналогичны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74381">
        <w:rPr>
          <w:rFonts w:ascii="Times New Roman" w:hAnsi="Times New Roman" w:cs="Times New Roman"/>
          <w:color w:val="auto"/>
          <w:sz w:val="28"/>
          <w:szCs w:val="28"/>
        </w:rPr>
        <w:t xml:space="preserve"> тем, что указаны в графе 12.8 </w:t>
      </w:r>
      <w:r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Pr="00A74381">
        <w:rPr>
          <w:rFonts w:ascii="Times New Roman" w:hAnsi="Times New Roman" w:cs="Times New Roman"/>
          <w:color w:val="auto"/>
          <w:sz w:val="28"/>
          <w:szCs w:val="28"/>
        </w:rPr>
        <w:t>умма денежных средств участников долевого строительства на последнюю календарную дату отчетного периода, не использованных по целевому назначению (млн. рублей)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74381">
        <w:rPr>
          <w:rFonts w:ascii="Times New Roman" w:hAnsi="Times New Roman" w:cs="Times New Roman"/>
          <w:color w:val="auto"/>
          <w:sz w:val="28"/>
          <w:szCs w:val="28"/>
        </w:rPr>
        <w:t>, заполненной за</w:t>
      </w:r>
      <w:proofErr w:type="gramEnd"/>
      <w:r w:rsidRPr="00A74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74381">
        <w:rPr>
          <w:rFonts w:ascii="Times New Roman" w:hAnsi="Times New Roman" w:cs="Times New Roman"/>
          <w:color w:val="auto"/>
          <w:sz w:val="28"/>
          <w:szCs w:val="28"/>
        </w:rPr>
        <w:t>предпоследний отчетный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т.е. в графе 12.1 </w:t>
      </w:r>
      <w:r w:rsidR="00AB3001">
        <w:rPr>
          <w:rFonts w:ascii="Times New Roman" w:hAnsi="Times New Roman" w:cs="Times New Roman"/>
          <w:color w:val="auto"/>
          <w:sz w:val="28"/>
          <w:szCs w:val="28"/>
        </w:rPr>
        <w:t>застройщику необходимо отражать сведения об общей сумме денежных средств, привлеченных застройщиком по договорам участия в долевом строительстве по состоянию на первую календарную дату отчетного периода, за вычетом денежных средств, использованных застройщиком по целевому назначению (</w:t>
      </w:r>
      <w:r w:rsidR="00521B3C">
        <w:rPr>
          <w:rFonts w:ascii="Times New Roman" w:hAnsi="Times New Roman" w:cs="Times New Roman"/>
          <w:color w:val="auto"/>
          <w:sz w:val="28"/>
          <w:szCs w:val="28"/>
        </w:rPr>
        <w:t>в предыдущем отчетном периоде</w:t>
      </w:r>
      <w:r w:rsidR="00AB300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21B3C">
        <w:rPr>
          <w:rFonts w:ascii="Times New Roman" w:hAnsi="Times New Roman" w:cs="Times New Roman"/>
          <w:color w:val="auto"/>
          <w:sz w:val="28"/>
          <w:szCs w:val="28"/>
        </w:rPr>
        <w:t xml:space="preserve"> и денежных средств, возвращённых участникам долевого строительства в связи с расторжением договоров участия в</w:t>
      </w:r>
      <w:proofErr w:type="gramEnd"/>
      <w:r w:rsidR="00521B3C">
        <w:rPr>
          <w:rFonts w:ascii="Times New Roman" w:hAnsi="Times New Roman" w:cs="Times New Roman"/>
          <w:color w:val="auto"/>
          <w:sz w:val="28"/>
          <w:szCs w:val="28"/>
        </w:rPr>
        <w:t xml:space="preserve"> долевом </w:t>
      </w:r>
      <w:proofErr w:type="gramStart"/>
      <w:r w:rsidR="00521B3C">
        <w:rPr>
          <w:rFonts w:ascii="Times New Roman" w:hAnsi="Times New Roman" w:cs="Times New Roman"/>
          <w:color w:val="auto"/>
          <w:sz w:val="28"/>
          <w:szCs w:val="28"/>
        </w:rPr>
        <w:t>строительстве</w:t>
      </w:r>
      <w:proofErr w:type="gramEnd"/>
      <w:r w:rsidR="00521B3C">
        <w:rPr>
          <w:rFonts w:ascii="Times New Roman" w:hAnsi="Times New Roman" w:cs="Times New Roman"/>
          <w:color w:val="auto"/>
          <w:sz w:val="28"/>
          <w:szCs w:val="28"/>
        </w:rPr>
        <w:t xml:space="preserve"> (в предыдущем отчетном периоде), однако большинство застройщиков в графе 12.1 отчетности указывают данные, не соответствующие данным графы 12.8 отчетности за предыдущий отчетный период;</w:t>
      </w:r>
    </w:p>
    <w:p w:rsidR="004F62F6" w:rsidRDefault="00521B3C" w:rsidP="004F62F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нарушение требовани</w:t>
      </w:r>
      <w:r w:rsidR="00210785">
        <w:rPr>
          <w:rFonts w:ascii="Times New Roman" w:hAnsi="Times New Roman" w:cs="Times New Roman"/>
          <w:color w:val="auto"/>
          <w:sz w:val="28"/>
          <w:szCs w:val="28"/>
        </w:rPr>
        <w:t xml:space="preserve">й п. 12 Порядка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застройщиками</w:t>
      </w:r>
      <w:r w:rsidR="002107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785" w:rsidRPr="00210785">
        <w:rPr>
          <w:rFonts w:ascii="Times New Roman" w:hAnsi="Times New Roman" w:cs="Times New Roman"/>
          <w:color w:val="auto"/>
          <w:sz w:val="28"/>
          <w:szCs w:val="28"/>
        </w:rPr>
        <w:t>ежеквартальной отчетности, утвержденного приказом Минстроя России № 656/</w:t>
      </w:r>
      <w:proofErr w:type="spellStart"/>
      <w:proofErr w:type="gramStart"/>
      <w:r w:rsidR="00210785" w:rsidRPr="00210785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C757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0785" w:rsidRPr="00210785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застройщики не представляют в составе отчетности справку, содержащую информацию о целях расходования денежных средств участников долевого строительства со ссылками пункты части 1 ст. 18 Федерального закона от 30.12.2004 № 214-ФЗ (при условии, если данные графы 12.4 «</w:t>
      </w:r>
      <w:r w:rsidR="00210785" w:rsidRPr="002107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Сумма денежных средств участников долевого строительства, использованных застройщиком в отчетном </w:t>
      </w:r>
      <w:proofErr w:type="gramStart"/>
      <w:r w:rsidR="00210785" w:rsidRPr="002107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периоде</w:t>
      </w:r>
      <w:proofErr w:type="gramEnd"/>
      <w:r w:rsidR="00210785" w:rsidRPr="002107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целевому назначению (млн. рублей)»</w:t>
      </w:r>
      <w:r w:rsidR="00210785" w:rsidRPr="00210785">
        <w:rPr>
          <w:rFonts w:ascii="Times New Roman" w:hAnsi="Times New Roman" w:cs="Times New Roman"/>
          <w:color w:val="auto"/>
          <w:sz w:val="28"/>
          <w:szCs w:val="28"/>
        </w:rPr>
        <w:t xml:space="preserve"> раздела </w:t>
      </w:r>
      <w:r w:rsidR="00210785" w:rsidRPr="0021078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210785" w:rsidRPr="00210785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 больше чем «0»).</w:t>
      </w:r>
    </w:p>
    <w:p w:rsidR="00AA0895" w:rsidRDefault="00210785" w:rsidP="00AA0895">
      <w:pPr>
        <w:pStyle w:val="Default"/>
        <w:ind w:left="106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4F62F6">
        <w:rPr>
          <w:rFonts w:ascii="Times New Roman" w:hAnsi="Times New Roman" w:cs="Times New Roman"/>
          <w:color w:val="auto"/>
          <w:sz w:val="28"/>
          <w:szCs w:val="28"/>
        </w:rPr>
        <w:t>Кроме того, часто застройщик некорректно оформляют указан</w:t>
      </w:r>
      <w:r w:rsidR="004F62F6" w:rsidRPr="004F62F6">
        <w:rPr>
          <w:rFonts w:ascii="Times New Roman" w:hAnsi="Times New Roman" w:cs="Times New Roman"/>
          <w:color w:val="auto"/>
          <w:sz w:val="28"/>
          <w:szCs w:val="28"/>
        </w:rPr>
        <w:t>ную справку, в связи с тем, что</w:t>
      </w:r>
      <w:r w:rsidR="004F62F6" w:rsidRPr="004F62F6">
        <w:rPr>
          <w:rFonts w:ascii="Times New Roman" w:hAnsi="Times New Roman" w:cs="Times New Roman"/>
          <w:color w:val="auto"/>
        </w:rPr>
        <w:t xml:space="preserve"> </w:t>
      </w:r>
      <w:r w:rsidR="004F62F6" w:rsidRPr="004F62F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к застройщикам, получившим разрешение на строительство до 01.07.2018 ст. 18 Федерального закона от 30.12.2004 № 214-ФЗ применяется в редакции Федерального закона от 01.07.2017 № 141-ФЗ с учетом особенностей, указанных в ст. 8 Федеральног</w:t>
      </w:r>
      <w:r w:rsidR="004F62F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о закона от 01.07.2018 № 175-ФЗ.</w:t>
      </w:r>
      <w:r w:rsidR="004F62F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Однако, большинство застройщиков, получивших разрешение на строительство до 01.07.2018, представляет справку о целях расходования денежных средств со ссылками на пункты ст. 18 Федерального закона от 30.12.2004 № 214-ФЗ в действующей редакции;</w:t>
      </w:r>
    </w:p>
    <w:p w:rsidR="00AD5E43" w:rsidRPr="00DF3166" w:rsidRDefault="00DF3166" w:rsidP="00AD5E4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DF316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Графа</w:t>
      </w:r>
      <w:r w:rsidR="00AD5E43" w:rsidRPr="00DF316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12.5 </w:t>
      </w:r>
      <w:r w:rsidR="00AD5E43" w:rsidRPr="00DF3166">
        <w:rPr>
          <w:rFonts w:ascii="Times New Roman" w:hAnsi="Times New Roman" w:cs="Times New Roman"/>
          <w:sz w:val="28"/>
          <w:szCs w:val="28"/>
        </w:rPr>
        <w:t>«Сумма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</w:t>
      </w:r>
      <w:proofErr w:type="gramStart"/>
      <w:r w:rsidR="00AD5E43" w:rsidRPr="00DF316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D5E43" w:rsidRPr="00DF3166">
        <w:rPr>
          <w:rFonts w:ascii="Times New Roman" w:hAnsi="Times New Roman" w:cs="Times New Roman"/>
          <w:sz w:val="28"/>
          <w:szCs w:val="28"/>
        </w:rPr>
        <w:t xml:space="preserve"> рублей)» </w:t>
      </w:r>
      <w:r w:rsidRPr="00DF316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F31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3166">
        <w:rPr>
          <w:rFonts w:ascii="Times New Roman" w:hAnsi="Times New Roman" w:cs="Times New Roman"/>
          <w:sz w:val="28"/>
          <w:szCs w:val="28"/>
        </w:rPr>
        <w:t xml:space="preserve"> отчетности заполняется застройщиками некорректно: 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данные графы 12.5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отчетности за последний отчетный период 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надлежит рассчитывать как сумму 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граф 12.4 </w:t>
      </w:r>
      <w:r w:rsidRPr="00DF316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«</w:t>
      </w:r>
      <w:r w:rsidRPr="00DF3166">
        <w:rPr>
          <w:rFonts w:ascii="Times New Roman" w:hAnsi="Times New Roman" w:cs="Times New Roman"/>
          <w:b/>
          <w:i/>
          <w:color w:val="22272F"/>
          <w:sz w:val="28"/>
          <w:szCs w:val="28"/>
          <w:u w:val="single"/>
          <w:shd w:val="clear" w:color="auto" w:fill="FFFFFF"/>
        </w:rPr>
        <w:t xml:space="preserve">Сумма денежных средств участников долевого строительства, использованных застройщиком в отчетном периоде по целевому назначению (млн. рублей)» и 12.5 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>«Сумма денежных средств участников долевого строительства, использованных застройщиком по целевому назначению на первую календарную дату отчетного периода (</w:t>
      </w:r>
      <w:proofErr w:type="gramStart"/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>млн</w:t>
      </w:r>
      <w:proofErr w:type="gramEnd"/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рублей)» раздела 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отчетности, заполненной застройщиком за предыдущий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(предпоследний)</w:t>
      </w:r>
      <w:r w:rsidRPr="00DF3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отчетной период,</w:t>
      </w:r>
      <w:r w:rsidRPr="00DF3166">
        <w:rPr>
          <w:rFonts w:ascii="Times New Roman" w:hAnsi="Times New Roman" w:cs="Times New Roman"/>
          <w:sz w:val="28"/>
          <w:szCs w:val="28"/>
        </w:rPr>
        <w:t xml:space="preserve"> однако застройщики,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166">
        <w:rPr>
          <w:rFonts w:ascii="Times New Roman" w:hAnsi="Times New Roman" w:cs="Times New Roman"/>
          <w:sz w:val="28"/>
          <w:szCs w:val="28"/>
        </w:rPr>
        <w:t xml:space="preserve"> указывают в данной графе «0», что является неверным, при условии, что большинство застройщиков ежеквартально несут расходы на строительство объектов;</w:t>
      </w:r>
    </w:p>
    <w:p w:rsidR="00AA0895" w:rsidRPr="00AA0895" w:rsidRDefault="00AA0895" w:rsidP="00AA089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A0895">
        <w:rPr>
          <w:rFonts w:ascii="Times New Roman" w:hAnsi="Times New Roman" w:cs="Times New Roman"/>
          <w:sz w:val="28"/>
          <w:szCs w:val="28"/>
        </w:rPr>
        <w:t xml:space="preserve">В графе 13.5.1 «Объекты долевого строительства – жилые помещения, в отношении которых на отчетную дату действуют ДДУ: количество (шт.)» </w:t>
      </w:r>
      <w:r>
        <w:rPr>
          <w:rFonts w:ascii="Times New Roman" w:hAnsi="Times New Roman" w:cs="Times New Roman"/>
          <w:b/>
          <w:bCs/>
          <w:sz w:val="28"/>
          <w:szCs w:val="28"/>
        </w:rPr>
        <w:t>надлежит указывать данные, которые могут быть меньше либо равны данным</w:t>
      </w:r>
      <w:r w:rsidRPr="00AA0895">
        <w:rPr>
          <w:rFonts w:ascii="Times New Roman" w:hAnsi="Times New Roman" w:cs="Times New Roman"/>
          <w:sz w:val="28"/>
          <w:szCs w:val="28"/>
        </w:rPr>
        <w:t xml:space="preserve"> графы 5.1.1;</w:t>
      </w:r>
    </w:p>
    <w:p w:rsidR="00AA0895" w:rsidRPr="00AA0895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A0895">
        <w:rPr>
          <w:rFonts w:ascii="Times New Roman" w:hAnsi="Times New Roman" w:cs="Times New Roman"/>
          <w:sz w:val="28"/>
          <w:szCs w:val="28"/>
        </w:rPr>
        <w:t xml:space="preserve">В графе 13.5.2 «Объекты долевого строительства – жилые помещения, в отношении которых на отчетную дату действуют ДДУ: площадь (кв. м)» </w:t>
      </w:r>
      <w:r>
        <w:rPr>
          <w:rFonts w:ascii="Times New Roman" w:hAnsi="Times New Roman" w:cs="Times New Roman"/>
          <w:b/>
          <w:bCs/>
          <w:sz w:val="28"/>
          <w:szCs w:val="28"/>
        </w:rPr>
        <w:t>надлежит указывать данные, которые могут быть меньше либо равны данным</w:t>
      </w:r>
      <w:r w:rsidRPr="00AA0895">
        <w:rPr>
          <w:rFonts w:ascii="Times New Roman" w:hAnsi="Times New Roman" w:cs="Times New Roman"/>
          <w:sz w:val="28"/>
          <w:szCs w:val="28"/>
        </w:rPr>
        <w:t xml:space="preserve"> графы 5.1.2;</w:t>
      </w:r>
    </w:p>
    <w:p w:rsidR="00AA0895" w:rsidRPr="00AD5E43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A0895">
        <w:rPr>
          <w:rFonts w:ascii="Times New Roman" w:hAnsi="Times New Roman" w:cs="Times New Roman"/>
          <w:sz w:val="28"/>
          <w:szCs w:val="28"/>
        </w:rPr>
        <w:t xml:space="preserve">В графе 13.6.1 «Объекты долевого строительства – нежилые помещения, в отношении которых на отчетную дату действуют ДДУ: количество (шт.)»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надлежит указывать данные, которые могут быть меньше либо равны </w:t>
      </w:r>
      <w:r w:rsidRPr="00AD5E43">
        <w:rPr>
          <w:rFonts w:ascii="Times New Roman" w:hAnsi="Times New Roman" w:cs="Times New Roman"/>
          <w:b/>
          <w:bCs/>
          <w:sz w:val="28"/>
          <w:szCs w:val="28"/>
        </w:rPr>
        <w:t>данным</w:t>
      </w:r>
      <w:r w:rsidRPr="00AD5E43">
        <w:rPr>
          <w:rFonts w:ascii="Times New Roman" w:hAnsi="Times New Roman" w:cs="Times New Roman"/>
          <w:sz w:val="28"/>
          <w:szCs w:val="28"/>
        </w:rPr>
        <w:t xml:space="preserve"> графы 5.2.1;</w:t>
      </w:r>
    </w:p>
    <w:p w:rsidR="00AA0895" w:rsidRPr="00AD5E43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D5E43">
        <w:rPr>
          <w:rFonts w:ascii="Times New Roman" w:hAnsi="Times New Roman" w:cs="Times New Roman"/>
          <w:sz w:val="28"/>
          <w:szCs w:val="28"/>
        </w:rPr>
        <w:t xml:space="preserve">В графе 13.6.2 «Объекты долевого строительства – нежилые помещения, в отношении которых на отчетную дату действуют ДДУ: площадь (кв. м)» </w:t>
      </w:r>
      <w:r w:rsidRPr="00AD5E43">
        <w:rPr>
          <w:rFonts w:ascii="Times New Roman" w:hAnsi="Times New Roman" w:cs="Times New Roman"/>
          <w:b/>
          <w:bCs/>
          <w:sz w:val="28"/>
          <w:szCs w:val="28"/>
        </w:rPr>
        <w:t>надлежит указывать данные, которые могут быть меньше либо равны данным</w:t>
      </w:r>
      <w:r w:rsidRPr="00AD5E43">
        <w:rPr>
          <w:rFonts w:ascii="Times New Roman" w:hAnsi="Times New Roman" w:cs="Times New Roman"/>
          <w:sz w:val="28"/>
          <w:szCs w:val="28"/>
        </w:rPr>
        <w:t xml:space="preserve"> графы 5.2.2;</w:t>
      </w:r>
    </w:p>
    <w:p w:rsidR="00AA0895" w:rsidRPr="00AD5E43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D5E43">
        <w:rPr>
          <w:rFonts w:ascii="Times New Roman" w:hAnsi="Times New Roman" w:cs="Times New Roman"/>
          <w:sz w:val="28"/>
          <w:szCs w:val="28"/>
        </w:rPr>
        <w:t xml:space="preserve">В графе 13.7.1 «Объекты долевого строительства – </w:t>
      </w:r>
      <w:proofErr w:type="spellStart"/>
      <w:r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D5E43">
        <w:rPr>
          <w:rFonts w:ascii="Times New Roman" w:hAnsi="Times New Roman" w:cs="Times New Roman"/>
          <w:sz w:val="28"/>
          <w:szCs w:val="28"/>
        </w:rPr>
        <w:t xml:space="preserve">-места, в отношении которых на отчетную дату действуют ДДУ: количество (шт.)» </w:t>
      </w:r>
      <w:r w:rsidRPr="00AD5E43">
        <w:rPr>
          <w:rFonts w:ascii="Times New Roman" w:hAnsi="Times New Roman" w:cs="Times New Roman"/>
          <w:b/>
          <w:bCs/>
          <w:sz w:val="28"/>
          <w:szCs w:val="28"/>
        </w:rPr>
        <w:t>надлежит указывать данные, которые могут быть меньше либо равны данным</w:t>
      </w:r>
      <w:r w:rsidRPr="00AD5E43">
        <w:rPr>
          <w:rFonts w:ascii="Times New Roman" w:hAnsi="Times New Roman" w:cs="Times New Roman"/>
          <w:sz w:val="28"/>
          <w:szCs w:val="28"/>
        </w:rPr>
        <w:t xml:space="preserve"> графы 5.3.1;</w:t>
      </w:r>
    </w:p>
    <w:p w:rsidR="00AA0895" w:rsidRPr="00AD5E43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D5E43">
        <w:rPr>
          <w:rFonts w:ascii="Times New Roman" w:hAnsi="Times New Roman" w:cs="Times New Roman"/>
          <w:sz w:val="28"/>
          <w:szCs w:val="28"/>
        </w:rPr>
        <w:t xml:space="preserve">В графе 13.7.2 «Объекты долевого строительства - </w:t>
      </w:r>
      <w:proofErr w:type="spellStart"/>
      <w:r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D5E43">
        <w:rPr>
          <w:rFonts w:ascii="Times New Roman" w:hAnsi="Times New Roman" w:cs="Times New Roman"/>
          <w:sz w:val="28"/>
          <w:szCs w:val="28"/>
        </w:rPr>
        <w:t xml:space="preserve">-места, в отношении которых на отчетную дату действуют ДДУ: площадь (кв. м)» </w:t>
      </w:r>
      <w:r w:rsidRPr="00AD5E43">
        <w:rPr>
          <w:rFonts w:ascii="Times New Roman" w:hAnsi="Times New Roman" w:cs="Times New Roman"/>
          <w:b/>
          <w:bCs/>
          <w:sz w:val="28"/>
          <w:szCs w:val="28"/>
        </w:rPr>
        <w:t>надлежит указывать данные, которые могут быть меньше либо равны данным</w:t>
      </w:r>
      <w:r w:rsidRPr="00AD5E43">
        <w:rPr>
          <w:rFonts w:ascii="Times New Roman" w:hAnsi="Times New Roman" w:cs="Times New Roman"/>
          <w:sz w:val="28"/>
          <w:szCs w:val="28"/>
        </w:rPr>
        <w:t xml:space="preserve"> графы 5.3.2. </w:t>
      </w:r>
    </w:p>
    <w:p w:rsidR="00AA0895" w:rsidRPr="00DF3166" w:rsidRDefault="00AA0895" w:rsidP="00AA0895">
      <w:pPr>
        <w:pStyle w:val="Default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43">
        <w:rPr>
          <w:rFonts w:ascii="Times New Roman" w:hAnsi="Times New Roman" w:cs="Times New Roman"/>
          <w:sz w:val="28"/>
          <w:szCs w:val="28"/>
        </w:rPr>
        <w:t xml:space="preserve">Однако часто застройщики указывают количество действующих договоров участия в долевом строительстве, заключенных в отношении жилых или нежилых помещений, </w:t>
      </w:r>
      <w:proofErr w:type="spellStart"/>
      <w:r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D5E43">
        <w:rPr>
          <w:rFonts w:ascii="Times New Roman" w:hAnsi="Times New Roman" w:cs="Times New Roman"/>
          <w:sz w:val="28"/>
          <w:szCs w:val="28"/>
        </w:rPr>
        <w:t xml:space="preserve">-мест, превышающее количество жилых помещений, нежилых помещений, </w:t>
      </w:r>
      <w:proofErr w:type="spellStart"/>
      <w:r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D5E43">
        <w:rPr>
          <w:rFonts w:ascii="Times New Roman" w:hAnsi="Times New Roman" w:cs="Times New Roman"/>
          <w:sz w:val="28"/>
          <w:szCs w:val="28"/>
        </w:rPr>
        <w:t>-мест, в отношении которых застройщик может заключать договоры участия в долевом строительстве</w:t>
      </w:r>
      <w:r w:rsidR="00AD5E43" w:rsidRPr="00AD5E43">
        <w:rPr>
          <w:rFonts w:ascii="Times New Roman" w:hAnsi="Times New Roman" w:cs="Times New Roman"/>
          <w:sz w:val="28"/>
          <w:szCs w:val="28"/>
        </w:rPr>
        <w:t xml:space="preserve">. Также застройщики указывают данные об общей площади жилых помещений, нежилых помещений, </w:t>
      </w:r>
      <w:proofErr w:type="spellStart"/>
      <w:r w:rsidR="00AD5E43"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5E43" w:rsidRPr="00AD5E43">
        <w:rPr>
          <w:rFonts w:ascii="Times New Roman" w:hAnsi="Times New Roman" w:cs="Times New Roman"/>
          <w:sz w:val="28"/>
          <w:szCs w:val="28"/>
        </w:rPr>
        <w:t xml:space="preserve">-мест, значительно превышающие данные о площадях жилых помещений, нежилых помещений, </w:t>
      </w:r>
      <w:proofErr w:type="spellStart"/>
      <w:r w:rsidR="00AD5E43" w:rsidRPr="00AD5E4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5E43" w:rsidRPr="00AD5E43">
        <w:rPr>
          <w:rFonts w:ascii="Times New Roman" w:hAnsi="Times New Roman" w:cs="Times New Roman"/>
          <w:sz w:val="28"/>
          <w:szCs w:val="28"/>
        </w:rPr>
        <w:t xml:space="preserve">-мест, в отношении которых застройщики могут </w:t>
      </w:r>
      <w:r w:rsidR="00AD5E43" w:rsidRPr="00DF3166">
        <w:rPr>
          <w:rFonts w:ascii="Times New Roman" w:hAnsi="Times New Roman" w:cs="Times New Roman"/>
          <w:color w:val="auto"/>
          <w:sz w:val="28"/>
          <w:szCs w:val="28"/>
        </w:rPr>
        <w:t xml:space="preserve">заключать договоры; </w:t>
      </w:r>
    </w:p>
    <w:p w:rsidR="00AD5E43" w:rsidRPr="005D5AA1" w:rsidRDefault="00DF3166" w:rsidP="00AD5E4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166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Графа 13.10 «</w:t>
      </w:r>
      <w:r w:rsidRPr="00DF31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Общая сумма денежных средств участников долевого строительства, привлеченных застройщиком для строительства (создания) объекта недвижимости </w:t>
      </w:r>
      <w:proofErr w:type="gramStart"/>
      <w:r w:rsidRPr="00DF31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даты получения</w:t>
      </w:r>
      <w:proofErr w:type="gramEnd"/>
      <w:r w:rsidRPr="00DF316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заключения о соответствии застройщика и проектной декларации требованиям законодательства о долевом строительстве и до последней календарной даты отчетного периода (млн. рублей)»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раздела </w:t>
      </w:r>
      <w:r w:rsid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="00E915BC" w:rsidRP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отчетности заполняется застройщиками некорректно. </w:t>
      </w:r>
      <w:proofErr w:type="gramStart"/>
      <w:r w:rsidR="00E915BC" w:rsidRP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данной графе надлежит указывать сумму всех денежных средств, поступивших застройщику от участников долевого строительства с даты получения им заключения о соответствии застройщика и проектной декларации требованиям законодательства о долевом строительстве, либо, если заключение о соответствии застройщика и проектной декларации требованиям законодательства о долевом строительстве застройщику не выдавалось, с </w:t>
      </w:r>
      <w:r w:rsidR="003D02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момента заключения первого договора участия в долевом строительстве</w:t>
      </w:r>
      <w:r w:rsidR="00E915BC" w:rsidRP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gramEnd"/>
      <w:r w:rsidR="00E915BC" w:rsidRP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E915BC" w:rsidRPr="00E915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Данные графы 13.10 рассчитываются как разница граф 13.8 «Общая сумма обязательств по ДДУ (млн. рублей)» и </w:t>
      </w:r>
      <w:r w:rsidR="00E915BC" w:rsidRP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13.9 «Дебиторская задолженность участников долевого строительства по оплате ДДУ (млн. рублей)» раздела </w:t>
      </w:r>
      <w:r w:rsidR="00E915BC" w:rsidRP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="00E915BC" w:rsidRP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отчетности, однако большинство застройщиков указывают в графе 13.10 сумму денежных средств, поступивших от участников долевого строительства, значительно меньше, чем разница между суммой обязательств и дебиторской задолженностью участников долевого строительства по договорам;</w:t>
      </w:r>
      <w:proofErr w:type="gramEnd"/>
    </w:p>
    <w:p w:rsidR="00ED0045" w:rsidRPr="00ED0045" w:rsidRDefault="00E915BC" w:rsidP="00ED004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D5AA1">
        <w:rPr>
          <w:rFonts w:ascii="Times New Roman" w:hAnsi="Times New Roman" w:cs="Times New Roman"/>
          <w:color w:val="auto"/>
          <w:sz w:val="28"/>
          <w:szCs w:val="28"/>
        </w:rPr>
        <w:t>Графа 21.3 «</w:t>
      </w:r>
      <w:r w:rsidRP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Остаток денежных средств на расчетном счете на конец отчетного периода (млн. рублей)» заполняется застройщиками некорректно: </w:t>
      </w:r>
      <w:r w:rsidR="005D5AA1" w:rsidRP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данной графе надлежит указывать сумму денежных средствах, поступивших застройщику от участников долевого строительства и не использованных по целевому назначению, в совокупности с суммой денежных средств, представленных застройщику кредитной организацией по кредитному договору (при наличии такового) и не использованных застройщик по целевому назначению</w:t>
      </w:r>
      <w:proofErr w:type="gramEnd"/>
      <w:r w:rsidR="005D5A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однако большинство застройщиков, при наличии неиспользованных денежных средств участников долевого строительства по состоянию на конец </w:t>
      </w:r>
      <w:r w:rsidR="005D5AA1" w:rsidRPr="00ED004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отчетного периода, указывают в графе 21.3 «0»;</w:t>
      </w:r>
    </w:p>
    <w:p w:rsidR="00210785" w:rsidRDefault="00ED0045" w:rsidP="0021078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045">
        <w:rPr>
          <w:rFonts w:ascii="Times New Roman" w:hAnsi="Times New Roman" w:cs="Times New Roman"/>
          <w:sz w:val="28"/>
          <w:szCs w:val="28"/>
        </w:rPr>
        <w:t xml:space="preserve">В графе 15 «Первоначальный срок передачи объектов долевого строительства участникам долевого строительства» раздела </w:t>
      </w:r>
      <w:r w:rsidRPr="00ED00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0045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Pr="00ED0045">
        <w:rPr>
          <w:rFonts w:ascii="Times New Roman" w:hAnsi="Times New Roman" w:cs="Times New Roman"/>
          <w:bCs/>
          <w:sz w:val="28"/>
          <w:szCs w:val="28"/>
        </w:rPr>
        <w:t>надлежит указывать</w:t>
      </w:r>
      <w:r w:rsidRPr="00ED0045">
        <w:rPr>
          <w:rFonts w:ascii="Times New Roman" w:hAnsi="Times New Roman" w:cs="Times New Roman"/>
          <w:sz w:val="28"/>
          <w:szCs w:val="28"/>
        </w:rPr>
        <w:t xml:space="preserve"> дату передачи объектов долевого строительства исходя из предполагаемого срока получения разрешения на ввод объекта недвижимости в эксплуатацию, указанного </w:t>
      </w:r>
      <w:r w:rsidRPr="00ED0045">
        <w:rPr>
          <w:rFonts w:ascii="Times New Roman" w:hAnsi="Times New Roman" w:cs="Times New Roman"/>
          <w:color w:val="auto"/>
          <w:sz w:val="28"/>
          <w:szCs w:val="28"/>
        </w:rPr>
        <w:t>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для таких объектов недвижимости, однако застройщики</w:t>
      </w:r>
      <w:proofErr w:type="gramEnd"/>
      <w:r w:rsidRPr="00ED0045">
        <w:rPr>
          <w:rFonts w:ascii="Times New Roman" w:hAnsi="Times New Roman" w:cs="Times New Roman"/>
          <w:color w:val="auto"/>
          <w:sz w:val="28"/>
          <w:szCs w:val="28"/>
        </w:rPr>
        <w:t xml:space="preserve"> ошибочно указывают в данной графе дату передачи объектов долевого строительства участникам долевого строительства </w:t>
      </w:r>
      <w:r w:rsidRPr="00ED0045">
        <w:rPr>
          <w:rFonts w:ascii="Times New Roman" w:hAnsi="Times New Roman" w:cs="Times New Roman"/>
          <w:sz w:val="28"/>
          <w:szCs w:val="28"/>
        </w:rPr>
        <w:t xml:space="preserve">исходя из предполагаемого срока получения разрешения на ввод объекта недвижимости в эксплуатацию, указанного </w:t>
      </w:r>
      <w:r w:rsidRPr="00ED0045">
        <w:rPr>
          <w:rFonts w:ascii="Times New Roman" w:hAnsi="Times New Roman" w:cs="Times New Roman"/>
          <w:color w:val="auto"/>
          <w:sz w:val="28"/>
          <w:szCs w:val="28"/>
        </w:rPr>
        <w:t>в проектной декларации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размещенной в ЕИСЖС по состоянию на последнюю дату отчетного периода;</w:t>
      </w:r>
    </w:p>
    <w:p w:rsidR="00ED0045" w:rsidRPr="008133DD" w:rsidRDefault="00ED0045" w:rsidP="0021078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«Сведения о нормативах финансовой устойчивости застройщика» отчетности застройщики чаще всего </w:t>
      </w:r>
      <w:r w:rsidRPr="008133DD">
        <w:rPr>
          <w:rFonts w:ascii="Times New Roman" w:hAnsi="Times New Roman" w:cs="Times New Roman"/>
          <w:sz w:val="28"/>
          <w:szCs w:val="28"/>
        </w:rPr>
        <w:t>нек</w:t>
      </w:r>
      <w:r w:rsidR="008133DD">
        <w:rPr>
          <w:rFonts w:ascii="Times New Roman" w:hAnsi="Times New Roman" w:cs="Times New Roman"/>
          <w:sz w:val="28"/>
          <w:szCs w:val="28"/>
        </w:rPr>
        <w:t xml:space="preserve">орректно рассчитывают норматив </w:t>
      </w:r>
      <w:r w:rsidRPr="008133DD">
        <w:rPr>
          <w:rFonts w:ascii="Times New Roman" w:hAnsi="Times New Roman" w:cs="Times New Roman"/>
          <w:sz w:val="28"/>
          <w:szCs w:val="28"/>
        </w:rPr>
        <w:t>целевого использования средств (Н</w:t>
      </w:r>
      <w:proofErr w:type="gramStart"/>
      <w:r w:rsidRPr="008133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133DD">
        <w:rPr>
          <w:rFonts w:ascii="Times New Roman" w:hAnsi="Times New Roman" w:cs="Times New Roman"/>
          <w:sz w:val="28"/>
          <w:szCs w:val="28"/>
        </w:rPr>
        <w:t>).</w:t>
      </w:r>
    </w:p>
    <w:p w:rsidR="00ED0045" w:rsidRPr="008133DD" w:rsidRDefault="00ED0045" w:rsidP="00ED0045">
      <w:pPr>
        <w:pStyle w:val="Defaul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33DD">
        <w:rPr>
          <w:rFonts w:ascii="Times New Roman" w:hAnsi="Times New Roman" w:cs="Times New Roman"/>
          <w:sz w:val="28"/>
          <w:szCs w:val="28"/>
        </w:rPr>
        <w:t>Норматив целевого использования надлежит рассчитывать по формуле:</w:t>
      </w:r>
    </w:p>
    <w:p w:rsidR="00ED0045" w:rsidRPr="00ED0045" w:rsidRDefault="00ED0045" w:rsidP="008133DD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04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ED0045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D0045">
        <w:rPr>
          <w:rFonts w:ascii="Times New Roman" w:hAnsi="Times New Roman" w:cs="Times New Roman"/>
          <w:color w:val="000000"/>
          <w:sz w:val="28"/>
          <w:szCs w:val="28"/>
        </w:rPr>
        <w:t>=АН</w:t>
      </w:r>
      <w:r w:rsidR="008133DD" w:rsidRPr="008133D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ED0045">
        <w:rPr>
          <w:rFonts w:ascii="Times New Roman" w:hAnsi="Times New Roman" w:cs="Times New Roman"/>
          <w:color w:val="000000"/>
          <w:sz w:val="28"/>
          <w:szCs w:val="28"/>
        </w:rPr>
        <w:t xml:space="preserve">(Д+ЧА), где: </w:t>
      </w:r>
    </w:p>
    <w:p w:rsidR="00ED0045" w:rsidRPr="00ED0045" w:rsidRDefault="00ED0045" w:rsidP="008133DD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0045">
        <w:rPr>
          <w:rFonts w:ascii="Times New Roman" w:hAnsi="Times New Roman" w:cs="Times New Roman"/>
          <w:color w:val="000000"/>
          <w:sz w:val="28"/>
          <w:szCs w:val="28"/>
        </w:rPr>
        <w:t xml:space="preserve">АН – сумма активов застройщика, не связанных со строительством, рублей. </w:t>
      </w:r>
    </w:p>
    <w:p w:rsidR="00ED0045" w:rsidRPr="00ED0045" w:rsidRDefault="00ED0045" w:rsidP="008133DD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ED0045">
        <w:rPr>
          <w:rFonts w:ascii="Times New Roman" w:hAnsi="Times New Roman" w:cs="Times New Roman"/>
          <w:color w:val="000000"/>
          <w:sz w:val="28"/>
          <w:szCs w:val="28"/>
        </w:rPr>
        <w:t xml:space="preserve">Сумма активов застройщика, не связанных со строительством, включает в себя следующие показатели: </w:t>
      </w:r>
      <w:proofErr w:type="spellStart"/>
      <w:r w:rsidRPr="00ED0045">
        <w:rPr>
          <w:rFonts w:ascii="Times New Roman" w:hAnsi="Times New Roman" w:cs="Times New Roman"/>
          <w:color w:val="000000"/>
          <w:sz w:val="28"/>
          <w:szCs w:val="28"/>
        </w:rPr>
        <w:t>внеоборотные</w:t>
      </w:r>
      <w:proofErr w:type="spellEnd"/>
      <w:r w:rsidRPr="00ED0045">
        <w:rPr>
          <w:rFonts w:ascii="Times New Roman" w:hAnsi="Times New Roman" w:cs="Times New Roman"/>
          <w:color w:val="000000"/>
          <w:sz w:val="28"/>
          <w:szCs w:val="28"/>
        </w:rPr>
        <w:t xml:space="preserve"> активы, дебиторскую задолженность, краткосрочные финансовые вложения за вычетом суммы активов незавершенного строительства и денежных средств участников долевого строительства, предоставленных с отсрочкой платежа; </w:t>
      </w:r>
    </w:p>
    <w:p w:rsidR="00ED0045" w:rsidRPr="00ED0045" w:rsidRDefault="00ED0045" w:rsidP="008133DD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Д – общая сумма обязательств застройщика, уменьшенная на величину обязательств по договорам участия в долевом строительстве, рублей. </w:t>
      </w:r>
    </w:p>
    <w:p w:rsidR="00ED0045" w:rsidRPr="008133DD" w:rsidRDefault="00ED0045" w:rsidP="00ED0045">
      <w:pPr>
        <w:pStyle w:val="Default"/>
        <w:ind w:left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33DD">
        <w:rPr>
          <w:rFonts w:ascii="Times New Roman" w:hAnsi="Times New Roman" w:cs="Times New Roman"/>
          <w:color w:val="auto"/>
          <w:sz w:val="28"/>
          <w:szCs w:val="28"/>
        </w:rPr>
        <w:t>ЧА – сумма чистых активов застройщика, определяемая в соответствии с Порядком определения стоимости чистых активов, утвержденным приказом Министерства финансов Российской Федерации от 28.08.2014 № 84н, с изменениями, внесенными приказом Министерства финансов Российской Федерации от 21.02.2018 № 30н.</w:t>
      </w:r>
    </w:p>
    <w:p w:rsidR="008133DD" w:rsidRDefault="008133DD" w:rsidP="008133DD">
      <w:pPr>
        <w:pStyle w:val="Default"/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133DD">
        <w:rPr>
          <w:rFonts w:ascii="Times New Roman" w:hAnsi="Times New Roman" w:cs="Times New Roman"/>
          <w:color w:val="auto"/>
          <w:sz w:val="28"/>
          <w:szCs w:val="28"/>
        </w:rPr>
        <w:t xml:space="preserve">Однако, застройщики ошибочно рассчитываю Н2 без учета чистых активов, т.е. в нарушение требований </w:t>
      </w:r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приказа Минстроя России от 15.05.2019 № 278/</w:t>
      </w:r>
      <w:proofErr w:type="spellStart"/>
      <w:proofErr w:type="gramStart"/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8133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Об утверждении порядка расчета норматива обеспеченности обязательств и норматива целевого использования средств»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D44A94" w:rsidRPr="00397225" w:rsidRDefault="008133DD" w:rsidP="00D44A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При заполнении раздела </w:t>
      </w:r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IV</w:t>
      </w:r>
      <w:r w:rsidRPr="008133D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«Примерный график реализации проекта строительства и обязательств по договорам» отчетности необходимо учитывать, что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к</w:t>
      </w:r>
      <w:r w:rsidRPr="008133D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онтрольные плановые значения графы 9 «Степень готовности объекта недвижимости» </w:t>
      </w:r>
      <w:r w:rsidR="00D44A9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отчетности </w:t>
      </w:r>
      <w:r w:rsidRPr="008133DD">
        <w:rPr>
          <w:rFonts w:ascii="Times New Roman" w:hAnsi="Times New Roman" w:cs="Times New Roman"/>
          <w:iCs/>
          <w:color w:val="auto"/>
          <w:sz w:val="28"/>
          <w:szCs w:val="28"/>
        </w:rPr>
        <w:t>должны соответствовать разделу 17 проектной декларации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Pr="008133D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заполненной застройщиком по форме, утвержденной </w:t>
      </w:r>
      <w:hyperlink r:id="rId11" w:history="1">
        <w:r w:rsidRPr="00111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Минстроя России от 20.12.2016 № 996/</w:t>
      </w:r>
      <w:proofErr w:type="spellStart"/>
      <w:proofErr w:type="gramStart"/>
      <w:r w:rsidRPr="00111C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т.е. информация о </w:t>
      </w:r>
      <w:r w:rsidR="00D44A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планируемом квартале и годе достижени</w:t>
      </w:r>
      <w:r w:rsidR="003D02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D44A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застройщиком 20%-40</w:t>
      </w:r>
      <w:r w:rsidR="00D44A94"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%-60%-80%-100% степени готовности объекта, указанная в графе 9 раздела </w:t>
      </w:r>
      <w:r w:rsidR="00D44A94"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IV</w:t>
      </w:r>
      <w:r w:rsidR="00D44A94"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отчетности,</w:t>
      </w:r>
      <w:r w:rsidR="00D44A94"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D44A94"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должна соответствовать информации о квартале и годе реализации </w:t>
      </w:r>
      <w:r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каждого из этапов реализации проекта строительства (20%-40%-60%-80%-100%), </w:t>
      </w:r>
      <w:r w:rsidR="00D44A94" w:rsidRPr="003972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указанной в разделе 17 проектной декларации.</w:t>
      </w:r>
      <w:r w:rsidR="00D44A94"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D44A94" w:rsidRDefault="00D44A94" w:rsidP="00D44A94">
      <w:pPr>
        <w:pStyle w:val="Default"/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ходе </w:t>
      </w:r>
      <w:r w:rsidR="003D022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сравнительного</w:t>
      </w:r>
      <w:r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анализа отчетности и проектной </w:t>
      </w:r>
      <w:proofErr w:type="gramStart"/>
      <w:r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декларации</w:t>
      </w:r>
      <w:proofErr w:type="gramEnd"/>
      <w:r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контролирующим органом выявляются значительные расхождения в графиках реализации проекта строительства</w:t>
      </w:r>
      <w:r w:rsidR="00397225"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по данным раздела </w:t>
      </w:r>
      <w:r w:rsidR="00397225"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en-US"/>
        </w:rPr>
        <w:t>IV</w:t>
      </w:r>
      <w:r w:rsidR="00397225"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отчетности и по данным раздела 17 проектной декларации</w:t>
      </w:r>
      <w:r w:rsidRPr="0039722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, в том числе относительно планируемого срока завершения строительства и ввода объекта в эксплуатацию</w:t>
      </w:r>
      <w:r w:rsidR="00C7574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;</w:t>
      </w:r>
    </w:p>
    <w:p w:rsidR="00C75746" w:rsidRPr="001B3106" w:rsidRDefault="00C75746" w:rsidP="00C7574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Также следует отметить, что в нарушение требований п. 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Порядка предоставления застройщиками </w:t>
      </w:r>
      <w:r w:rsidRPr="00210785">
        <w:rPr>
          <w:rFonts w:ascii="Times New Roman" w:hAnsi="Times New Roman" w:cs="Times New Roman"/>
          <w:color w:val="auto"/>
          <w:sz w:val="28"/>
          <w:szCs w:val="28"/>
        </w:rPr>
        <w:t>ежеквартальной отчетности, утвержденного приказом Минстроя России № 656/</w:t>
      </w:r>
      <w:proofErr w:type="spellStart"/>
      <w:proofErr w:type="gramStart"/>
      <w:r w:rsidRPr="00210785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составе отчетности, направляемой застройщиками в личный кабинет контролирующего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через ЕИСЖС, </w:t>
      </w:r>
      <w:r w:rsidR="003D022D">
        <w:rPr>
          <w:rFonts w:ascii="Times New Roman" w:hAnsi="Times New Roman" w:cs="Times New Roman"/>
          <w:color w:val="auto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отсутствует бухгалтерская (финансовая) отчетность. </w:t>
      </w:r>
    </w:p>
    <w:p w:rsidR="001B3106" w:rsidRPr="001B3106" w:rsidRDefault="001B3106" w:rsidP="001B3106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06">
        <w:rPr>
          <w:rFonts w:ascii="Times New Roman" w:hAnsi="Times New Roman" w:cs="Times New Roman"/>
          <w:sz w:val="28"/>
          <w:szCs w:val="28"/>
        </w:rPr>
        <w:t>Напоминаем, что н</w:t>
      </w:r>
      <w:r w:rsidRPr="001B3106">
        <w:rPr>
          <w:rFonts w:ascii="Times New Roman" w:hAnsi="Times New Roman" w:cs="Times New Roman"/>
          <w:sz w:val="28"/>
          <w:szCs w:val="28"/>
        </w:rPr>
        <w:t xml:space="preserve">епредставление в установленный срок в орган, </w:t>
      </w:r>
      <w:bookmarkStart w:id="0" w:name="_GoBack"/>
      <w:bookmarkEnd w:id="0"/>
      <w:r w:rsidRPr="001B3106">
        <w:rPr>
          <w:rFonts w:ascii="Times New Roman" w:hAnsi="Times New Roman" w:cs="Times New Roman"/>
          <w:sz w:val="28"/>
          <w:szCs w:val="28"/>
        </w:rPr>
        <w:t>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</w:t>
      </w:r>
      <w:r w:rsidRPr="001B3106">
        <w:rPr>
          <w:rFonts w:ascii="Times New Roman" w:hAnsi="Times New Roman" w:cs="Times New Roman"/>
          <w:sz w:val="28"/>
          <w:szCs w:val="28"/>
        </w:rPr>
        <w:t xml:space="preserve"> отчетности не в полном объеме образуют состав административного правонарушения, предусмотренного</w:t>
      </w:r>
      <w:proofErr w:type="gramEnd"/>
      <w:r w:rsidRPr="001B3106">
        <w:rPr>
          <w:rFonts w:ascii="Times New Roman" w:hAnsi="Times New Roman" w:cs="Times New Roman"/>
          <w:sz w:val="28"/>
          <w:szCs w:val="28"/>
        </w:rPr>
        <w:t xml:space="preserve"> ч. 3 ст. 14.28 КоАП РФ и </w:t>
      </w:r>
      <w:r w:rsidRPr="001B310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пятнадцати тысяч рублей; на юридических лиц - от пятидесяти тысяч до двухсот тысяч рублей.</w:t>
      </w:r>
    </w:p>
    <w:p w:rsidR="001B3106" w:rsidRPr="00397225" w:rsidRDefault="001B3106" w:rsidP="001B3106">
      <w:pPr>
        <w:pStyle w:val="Default"/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D44A94" w:rsidRPr="00D44A94" w:rsidRDefault="00D44A94">
      <w:pPr>
        <w:pStyle w:val="Default"/>
        <w:ind w:left="1068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sectPr w:rsidR="00D44A94" w:rsidRPr="00D44A94" w:rsidSect="00E007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19"/>
    <w:multiLevelType w:val="hybridMultilevel"/>
    <w:tmpl w:val="27C4F68E"/>
    <w:lvl w:ilvl="0" w:tplc="83A0F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9A07CA"/>
    <w:multiLevelType w:val="hybridMultilevel"/>
    <w:tmpl w:val="234ED7AE"/>
    <w:lvl w:ilvl="0" w:tplc="F3A6E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61CF3"/>
    <w:multiLevelType w:val="hybridMultilevel"/>
    <w:tmpl w:val="27C4F68E"/>
    <w:lvl w:ilvl="0" w:tplc="83A0F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433387"/>
    <w:multiLevelType w:val="hybridMultilevel"/>
    <w:tmpl w:val="27C4F68E"/>
    <w:lvl w:ilvl="0" w:tplc="83A0F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262E9D"/>
    <w:multiLevelType w:val="hybridMultilevel"/>
    <w:tmpl w:val="27C4F68E"/>
    <w:lvl w:ilvl="0" w:tplc="83A0F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7"/>
    <w:rsid w:val="00111CA2"/>
    <w:rsid w:val="0012311A"/>
    <w:rsid w:val="001B3106"/>
    <w:rsid w:val="00210785"/>
    <w:rsid w:val="00253269"/>
    <w:rsid w:val="002875E0"/>
    <w:rsid w:val="002A39B4"/>
    <w:rsid w:val="00362388"/>
    <w:rsid w:val="003664F9"/>
    <w:rsid w:val="00397225"/>
    <w:rsid w:val="003D022D"/>
    <w:rsid w:val="004A23C3"/>
    <w:rsid w:val="004F62F6"/>
    <w:rsid w:val="00521B3C"/>
    <w:rsid w:val="005D5AA1"/>
    <w:rsid w:val="005F0194"/>
    <w:rsid w:val="0067202A"/>
    <w:rsid w:val="008133DD"/>
    <w:rsid w:val="00924C97"/>
    <w:rsid w:val="00A016A5"/>
    <w:rsid w:val="00A0616F"/>
    <w:rsid w:val="00A5544B"/>
    <w:rsid w:val="00A74381"/>
    <w:rsid w:val="00AA0895"/>
    <w:rsid w:val="00AB3001"/>
    <w:rsid w:val="00AD5E43"/>
    <w:rsid w:val="00AE4192"/>
    <w:rsid w:val="00B55666"/>
    <w:rsid w:val="00C75746"/>
    <w:rsid w:val="00D44A94"/>
    <w:rsid w:val="00DF3166"/>
    <w:rsid w:val="00E00737"/>
    <w:rsid w:val="00E915BC"/>
    <w:rsid w:val="00EA0BAF"/>
    <w:rsid w:val="00E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1CA2"/>
    <w:rPr>
      <w:color w:val="0000FF"/>
      <w:u w:val="single"/>
    </w:rPr>
  </w:style>
  <w:style w:type="paragraph" w:customStyle="1" w:styleId="s16">
    <w:name w:val="s_16"/>
    <w:basedOn w:val="a"/>
    <w:rsid w:val="00A7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1CA2"/>
    <w:rPr>
      <w:color w:val="0000FF"/>
      <w:u w:val="single"/>
    </w:rPr>
  </w:style>
  <w:style w:type="paragraph" w:customStyle="1" w:styleId="s16">
    <w:name w:val="s_16"/>
    <w:basedOn w:val="a"/>
    <w:rsid w:val="00A7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809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1580910/bd2c76d8fd4d0d36c804c96a48591b1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58091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15809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580910/bd2c76d8fd4d0d36c804c96a48591b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3815-E5F6-4467-88E5-EB5F7A01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Ефимец</dc:creator>
  <cp:lastModifiedBy>Анастасия Александровна Алексеева</cp:lastModifiedBy>
  <cp:revision>3</cp:revision>
  <dcterms:created xsi:type="dcterms:W3CDTF">2020-11-25T18:16:00Z</dcterms:created>
  <dcterms:modified xsi:type="dcterms:W3CDTF">2020-11-26T11:03:00Z</dcterms:modified>
</cp:coreProperties>
</file>