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11" w:rsidRPr="00AF4332" w:rsidRDefault="00C67E11" w:rsidP="00C67E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71A">
        <w:rPr>
          <w:rFonts w:ascii="Times New Roman" w:hAnsi="Times New Roman"/>
          <w:sz w:val="28"/>
          <w:szCs w:val="28"/>
        </w:rPr>
        <w:t>В целях решения задачи по предупреждению, выявлению и пресечению допущенных нарушений законодательства о градостроительной деятельности, проектной документации</w:t>
      </w:r>
      <w:r>
        <w:rPr>
          <w:rFonts w:ascii="Times New Roman" w:hAnsi="Times New Roman"/>
          <w:sz w:val="28"/>
          <w:szCs w:val="28"/>
        </w:rPr>
        <w:t xml:space="preserve"> в 2022</w:t>
      </w:r>
      <w:r w:rsidRPr="0083771A">
        <w:rPr>
          <w:rFonts w:ascii="Times New Roman" w:hAnsi="Times New Roman"/>
          <w:sz w:val="28"/>
          <w:szCs w:val="28"/>
        </w:rPr>
        <w:t xml:space="preserve"> года региональный государственный строительный надзор на территории Ленинградской области осуществлялся в отношении </w:t>
      </w:r>
      <w:r w:rsidRPr="00AF4332">
        <w:rPr>
          <w:rFonts w:ascii="Times New Roman" w:hAnsi="Times New Roman"/>
          <w:color w:val="000000" w:themeColor="text1"/>
          <w:sz w:val="28"/>
          <w:szCs w:val="28"/>
        </w:rPr>
        <w:t>839</w:t>
      </w:r>
      <w:r w:rsidRPr="00AF4332">
        <w:rPr>
          <w:rFonts w:ascii="Times New Roman" w:hAnsi="Times New Roman"/>
          <w:sz w:val="28"/>
          <w:szCs w:val="28"/>
        </w:rPr>
        <w:t xml:space="preserve"> объектов капитального строительства, </w:t>
      </w:r>
      <w:r w:rsidRPr="00AF4332">
        <w:rPr>
          <w:rFonts w:ascii="Times New Roman" w:hAnsi="Times New Roman"/>
          <w:color w:val="000000" w:themeColor="text1"/>
          <w:sz w:val="28"/>
          <w:szCs w:val="28"/>
        </w:rPr>
        <w:t>что на 3 % меньше, чем в аналогичном периоде 2021 года (862 объекта капитального строительства).</w:t>
      </w:r>
    </w:p>
    <w:p w:rsidR="00C67E11" w:rsidRPr="00EA65D4" w:rsidRDefault="00C67E11" w:rsidP="00C67E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332">
        <w:rPr>
          <w:rFonts w:ascii="Times New Roman" w:hAnsi="Times New Roman"/>
          <w:sz w:val="28"/>
          <w:szCs w:val="28"/>
        </w:rPr>
        <w:t xml:space="preserve">По назначению объекты, находящиеся под надзором, распределились следующим образом: </w:t>
      </w:r>
      <w:r w:rsidRPr="00AF4332">
        <w:rPr>
          <w:rFonts w:ascii="Times New Roman" w:hAnsi="Times New Roman"/>
          <w:color w:val="000000" w:themeColor="text1"/>
          <w:sz w:val="28"/>
          <w:szCs w:val="28"/>
        </w:rPr>
        <w:t>322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Pr="00AF4332">
        <w:rPr>
          <w:rFonts w:ascii="Times New Roman" w:hAnsi="Times New Roman"/>
          <w:color w:val="000000" w:themeColor="text1"/>
          <w:sz w:val="28"/>
          <w:szCs w:val="28"/>
        </w:rPr>
        <w:t xml:space="preserve"> жилищного строительства, 141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 культурно</w:t>
      </w:r>
      <w:r w:rsidRPr="00AF4332">
        <w:rPr>
          <w:rFonts w:ascii="Times New Roman" w:hAnsi="Times New Roman"/>
          <w:color w:val="000000" w:themeColor="text1"/>
          <w:sz w:val="28"/>
          <w:szCs w:val="28"/>
        </w:rPr>
        <w:t>–бытового назначения (в том числе общественные и социальные объекты), 376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объектов</w:t>
      </w:r>
      <w:r w:rsidRPr="00AF4332">
        <w:rPr>
          <w:rFonts w:ascii="Times New Roman" w:hAnsi="Times New Roman"/>
          <w:color w:val="000000" w:themeColor="text1"/>
          <w:sz w:val="28"/>
          <w:szCs w:val="28"/>
        </w:rPr>
        <w:t xml:space="preserve"> производственного и складского назначения, в том числе линейные объекты.</w:t>
      </w:r>
    </w:p>
    <w:p w:rsidR="00C67E11" w:rsidRPr="0083771A" w:rsidRDefault="00C67E11" w:rsidP="00C67E1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A65D4">
        <w:rPr>
          <w:rFonts w:ascii="Times New Roman" w:hAnsi="Times New Roman"/>
          <w:color w:val="000000" w:themeColor="text1"/>
          <w:sz w:val="28"/>
          <w:szCs w:val="28"/>
        </w:rPr>
        <w:t>Продолжается тенденция числового уменьшения количества объектов происходит из-за их укрупнения</w:t>
      </w:r>
      <w:r w:rsidRPr="0083771A">
        <w:rPr>
          <w:rFonts w:ascii="Times New Roman" w:hAnsi="Times New Roman"/>
          <w:sz w:val="28"/>
          <w:szCs w:val="28"/>
        </w:rPr>
        <w:t xml:space="preserve"> при реализации проектов жилищного назначения. Зачастую в состав одного объекта капитального строительства входит несколько многоэтажных многоквартирных корпусов, здание детского дошкольного учреждения, подземный паркинг для автомобилей, встроенно-пристроенные объекты различного назначения: от медицинских центров и офисов до объектов торговли и физкультурно-оздоровительных комплексов.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71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3771A">
        <w:rPr>
          <w:rFonts w:ascii="Times New Roman" w:hAnsi="Times New Roman"/>
          <w:sz w:val="28"/>
          <w:szCs w:val="28"/>
        </w:rPr>
        <w:t xml:space="preserve">а 12 месяцев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8377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выдано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151 заключение</w:t>
      </w:r>
      <w:r w:rsidRPr="0083771A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</w:t>
      </w:r>
      <w:r w:rsidRPr="00503157">
        <w:rPr>
          <w:rFonts w:ascii="Times New Roman" w:hAnsi="Times New Roman" w:cs="Times New Roman"/>
          <w:sz w:val="28"/>
          <w:szCs w:val="28"/>
        </w:rPr>
        <w:t>построенного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2A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выданных заключений о соответствии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период с 2019 по 2022 гг.</w:t>
      </w:r>
    </w:p>
    <w:p w:rsidR="00C67E11" w:rsidRPr="00D152A5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67E11" w:rsidTr="00F44D1D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2477"/>
              <w:gridCol w:w="2477"/>
              <w:gridCol w:w="2477"/>
            </w:tblGrid>
            <w:tr w:rsidR="00C67E11" w:rsidTr="00F44D1D">
              <w:tc>
                <w:tcPr>
                  <w:tcW w:w="2476" w:type="dxa"/>
                  <w:shd w:val="clear" w:color="auto" w:fill="92CDDC" w:themeFill="accent5" w:themeFillTint="99"/>
                </w:tcPr>
                <w:p w:rsidR="00C67E11" w:rsidRDefault="00C67E11" w:rsidP="00F44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  <w:tc>
                <w:tcPr>
                  <w:tcW w:w="2477" w:type="dxa"/>
                  <w:shd w:val="clear" w:color="auto" w:fill="92CDDC" w:themeFill="accent5" w:themeFillTint="99"/>
                </w:tcPr>
                <w:p w:rsidR="00C67E11" w:rsidRDefault="00C67E11" w:rsidP="00F44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 год</w:t>
                  </w:r>
                </w:p>
              </w:tc>
              <w:tc>
                <w:tcPr>
                  <w:tcW w:w="2477" w:type="dxa"/>
                  <w:shd w:val="clear" w:color="auto" w:fill="92CDDC" w:themeFill="accent5" w:themeFillTint="99"/>
                </w:tcPr>
                <w:p w:rsidR="00C67E11" w:rsidRDefault="00C67E11" w:rsidP="00F44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2477" w:type="dxa"/>
                  <w:shd w:val="clear" w:color="auto" w:fill="92CDDC" w:themeFill="accent5" w:themeFillTint="99"/>
                </w:tcPr>
                <w:p w:rsidR="00C67E11" w:rsidRDefault="00C67E11" w:rsidP="00F44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 год</w:t>
                  </w:r>
                </w:p>
              </w:tc>
            </w:tr>
            <w:tr w:rsidR="00C67E11" w:rsidTr="00F44D1D">
              <w:tc>
                <w:tcPr>
                  <w:tcW w:w="2476" w:type="dxa"/>
                  <w:shd w:val="clear" w:color="auto" w:fill="92CDDC" w:themeFill="accent5" w:themeFillTint="99"/>
                </w:tcPr>
                <w:p w:rsidR="00C67E11" w:rsidRDefault="00C67E11" w:rsidP="00F44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031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151</w:t>
                  </w:r>
                </w:p>
              </w:tc>
              <w:tc>
                <w:tcPr>
                  <w:tcW w:w="2477" w:type="dxa"/>
                  <w:shd w:val="clear" w:color="auto" w:fill="92CDDC" w:themeFill="accent5" w:themeFillTint="99"/>
                </w:tcPr>
                <w:p w:rsidR="00C67E11" w:rsidRDefault="00C67E11" w:rsidP="00F44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128</w:t>
                  </w:r>
                </w:p>
              </w:tc>
              <w:tc>
                <w:tcPr>
                  <w:tcW w:w="2477" w:type="dxa"/>
                  <w:shd w:val="clear" w:color="auto" w:fill="92CDDC" w:themeFill="accent5" w:themeFillTint="99"/>
                </w:tcPr>
                <w:p w:rsidR="00C67E11" w:rsidRDefault="00C67E11" w:rsidP="00F44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147</w:t>
                  </w:r>
                </w:p>
              </w:tc>
              <w:tc>
                <w:tcPr>
                  <w:tcW w:w="2477" w:type="dxa"/>
                  <w:shd w:val="clear" w:color="auto" w:fill="92CDDC" w:themeFill="accent5" w:themeFillTint="99"/>
                </w:tcPr>
                <w:p w:rsidR="00C67E11" w:rsidRDefault="00C67E11" w:rsidP="00F44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138</w:t>
                  </w:r>
                </w:p>
              </w:tc>
            </w:tr>
          </w:tbl>
          <w:p w:rsidR="00C67E11" w:rsidRDefault="00C67E11" w:rsidP="00F44D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7E11" w:rsidRDefault="00C67E11" w:rsidP="00C67E1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</w:p>
    <w:p w:rsidR="00C67E11" w:rsidRDefault="00C67E11" w:rsidP="00C67E1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2462540F" wp14:editId="6B3F85E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7E11" w:rsidRPr="00C86C84" w:rsidRDefault="00C67E11" w:rsidP="00C67E1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67E11" w:rsidRDefault="00C67E11" w:rsidP="00C67E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771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8377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государственного строительного надзора и государственной экспертизы Ленинградской области (далее - комитет) </w:t>
      </w:r>
      <w:r w:rsidRPr="0083771A">
        <w:rPr>
          <w:rFonts w:ascii="Times New Roman" w:hAnsi="Times New Roman"/>
          <w:sz w:val="28"/>
          <w:szCs w:val="28"/>
        </w:rPr>
        <w:t xml:space="preserve">выдано </w:t>
      </w:r>
      <w:r>
        <w:rPr>
          <w:rFonts w:ascii="Times New Roman" w:hAnsi="Times New Roman"/>
          <w:sz w:val="28"/>
          <w:szCs w:val="28"/>
        </w:rPr>
        <w:t>58 решений</w:t>
      </w:r>
      <w:r w:rsidRPr="0083771A">
        <w:rPr>
          <w:rFonts w:ascii="Times New Roman" w:hAnsi="Times New Roman"/>
          <w:sz w:val="28"/>
          <w:szCs w:val="28"/>
        </w:rPr>
        <w:t xml:space="preserve"> об отказе в выдаче заключений о соответствии построенных, реконструируемых объектов капитального строительства требованиям технических регламентов и проектной документации</w:t>
      </w:r>
      <w:r>
        <w:rPr>
          <w:rFonts w:ascii="Times New Roman" w:hAnsi="Times New Roman"/>
          <w:sz w:val="28"/>
          <w:szCs w:val="28"/>
        </w:rPr>
        <w:t>,</w:t>
      </w:r>
      <w:r w:rsidRPr="00D152A5">
        <w:rPr>
          <w:rFonts w:ascii="Times New Roman" w:hAnsi="Times New Roman" w:cs="Times New Roman"/>
          <w:sz w:val="28"/>
          <w:szCs w:val="28"/>
        </w:rPr>
        <w:t xml:space="preserve"> </w:t>
      </w:r>
      <w:r w:rsidRPr="00503157">
        <w:rPr>
          <w:rFonts w:ascii="Times New Roman" w:hAnsi="Times New Roman" w:cs="Times New Roman"/>
          <w:sz w:val="28"/>
          <w:szCs w:val="28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83771A">
        <w:rPr>
          <w:rFonts w:ascii="Times New Roman" w:hAnsi="Times New Roman"/>
          <w:sz w:val="28"/>
          <w:szCs w:val="28"/>
        </w:rPr>
        <w:t>.</w:t>
      </w:r>
      <w:r w:rsidRPr="0083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67E11" w:rsidRDefault="00C67E11" w:rsidP="00C67E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E11" w:rsidRPr="00BC2ECF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2A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 выданных Решений об отказе в выдаче заключений о соответствии</w:t>
      </w:r>
      <w:r w:rsidRPr="00BC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с 2019 по 2022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477"/>
        <w:gridCol w:w="2477"/>
        <w:gridCol w:w="2477"/>
      </w:tblGrid>
      <w:tr w:rsidR="00C67E11" w:rsidTr="00F44D1D">
        <w:tc>
          <w:tcPr>
            <w:tcW w:w="2476" w:type="dxa"/>
            <w:shd w:val="clear" w:color="auto" w:fill="DBE5F1" w:themeFill="accent1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477" w:type="dxa"/>
            <w:shd w:val="clear" w:color="auto" w:fill="DBE5F1" w:themeFill="accent1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477" w:type="dxa"/>
            <w:shd w:val="clear" w:color="auto" w:fill="DBE5F1" w:themeFill="accent1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477" w:type="dxa"/>
            <w:shd w:val="clear" w:color="auto" w:fill="DBE5F1" w:themeFill="accent1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C67E11" w:rsidTr="00F44D1D">
        <w:tc>
          <w:tcPr>
            <w:tcW w:w="2476" w:type="dxa"/>
            <w:shd w:val="clear" w:color="auto" w:fill="DBE5F1" w:themeFill="accent1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77" w:type="dxa"/>
            <w:shd w:val="clear" w:color="auto" w:fill="DBE5F1" w:themeFill="accent1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7" w:type="dxa"/>
            <w:shd w:val="clear" w:color="auto" w:fill="DBE5F1" w:themeFill="accent1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7" w:type="dxa"/>
            <w:shd w:val="clear" w:color="auto" w:fill="DBE5F1" w:themeFill="accent1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67E11" w:rsidRDefault="00C67E11" w:rsidP="00C67E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E11" w:rsidRDefault="00C67E11" w:rsidP="00C67E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0119E7" wp14:editId="684BA03C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7E11" w:rsidRPr="0083771A" w:rsidRDefault="00C67E11" w:rsidP="00C67E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принятых комитетом решений об отказе в выдаче заключения о соответствии, в первую очередь, связано с внесением изменений в законодательство, регулирующее градостроительную сферу. Согласно  принятым в 2021 году новеллам по результатам проведения итоговой проверки в течение 5 дней после ее завершения принимается либо положительное решение и выдается заключение о соответствии, либо решение об отказе в выдаче такого  заключения (при наличии нарушений).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71A">
        <w:rPr>
          <w:rFonts w:ascii="Times New Roman" w:eastAsia="Times New Roman" w:hAnsi="Times New Roman"/>
          <w:sz w:val="28"/>
          <w:szCs w:val="28"/>
          <w:lang w:eastAsia="ru-RU"/>
        </w:rPr>
        <w:t>Всего при осуществлении регионального государственного строительного надзора департаментом государственного строител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надзора за 12 месяцев 2022</w:t>
      </w:r>
      <w:r w:rsidRPr="008377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проведено – </w:t>
      </w:r>
      <w:r w:rsidRPr="008E57D1">
        <w:rPr>
          <w:rFonts w:ascii="Times New Roman" w:eastAsia="Times New Roman" w:hAnsi="Times New Roman"/>
          <w:sz w:val="28"/>
          <w:szCs w:val="28"/>
          <w:lang w:eastAsia="ru-RU"/>
        </w:rPr>
        <w:t>704</w:t>
      </w:r>
      <w:r w:rsidRPr="008377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проверки. 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E11" w:rsidRPr="00BC2ECF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4D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выданных актов проверок по результатам проведенных проверок</w:t>
      </w:r>
      <w:r w:rsidRPr="00BC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с 2019 по 2022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68"/>
        <w:gridCol w:w="2477"/>
        <w:gridCol w:w="2477"/>
        <w:gridCol w:w="2601"/>
      </w:tblGrid>
      <w:tr w:rsidR="00C67E11" w:rsidTr="00F44D1D">
        <w:tc>
          <w:tcPr>
            <w:tcW w:w="2368" w:type="dxa"/>
            <w:shd w:val="clear" w:color="auto" w:fill="DDD9C3" w:themeFill="background2" w:themeFillShade="E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477" w:type="dxa"/>
            <w:shd w:val="clear" w:color="auto" w:fill="DDD9C3" w:themeFill="background2" w:themeFillShade="E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477" w:type="dxa"/>
            <w:shd w:val="clear" w:color="auto" w:fill="DDD9C3" w:themeFill="background2" w:themeFillShade="E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601" w:type="dxa"/>
            <w:shd w:val="clear" w:color="auto" w:fill="DDD9C3" w:themeFill="background2" w:themeFillShade="E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C67E11" w:rsidTr="00F44D1D">
        <w:tc>
          <w:tcPr>
            <w:tcW w:w="2368" w:type="dxa"/>
            <w:shd w:val="clear" w:color="auto" w:fill="DDD9C3" w:themeFill="background2" w:themeFillShade="E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2477" w:type="dxa"/>
            <w:shd w:val="clear" w:color="auto" w:fill="DDD9C3" w:themeFill="background2" w:themeFillShade="E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2477" w:type="dxa"/>
            <w:shd w:val="clear" w:color="auto" w:fill="DDD9C3" w:themeFill="background2" w:themeFillShade="E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601" w:type="dxa"/>
            <w:shd w:val="clear" w:color="auto" w:fill="DDD9C3" w:themeFill="background2" w:themeFillShade="E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1137</w:t>
            </w:r>
          </w:p>
        </w:tc>
      </w:tr>
    </w:tbl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E11" w:rsidRPr="00966A3F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4F1E99" wp14:editId="4E55B6A3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Существенное снижение количества проведенных проверочных мероприятий в 2020-2021 гг. связано с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ковидными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ограничениями на проведение проверок,</w:t>
      </w:r>
      <w:r w:rsidRPr="00BB1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объявленными</w:t>
      </w:r>
      <w:r w:rsidRPr="002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пандемии </w:t>
      </w:r>
      <w:proofErr w:type="spellStart"/>
      <w:r w:rsidRP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снижение количества проведенных комитетом проверочных мероприятий достигнуто в связи с реформой контрольно-надзорной деятельности, проводимой Правительством Российской Федерации. </w:t>
      </w:r>
    </w:p>
    <w:p w:rsidR="00C67E11" w:rsidRPr="0083771A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мораторий на проведение проверок в рамках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E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57D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8E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10.03.2022 N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дзора), муниципального контроля», в том числе,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попали проверки исполнения ранее выданного предписания и проверки по извещениям об устранении ранее выявленных нарушений обязательных требований.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регионального государственного строительного надзора департаментом государственного строительного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 2022 году 704 проверок  </w:t>
      </w:r>
      <w:r w:rsidRPr="0083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Pr="008E57D1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предписаний</w:t>
      </w:r>
      <w:r w:rsidRPr="0083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при строительстве, реконструкции объектов капитального строительства,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83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83771A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за аналогичный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3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601 предписание</w:t>
      </w:r>
      <w:r w:rsidRPr="008377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предписаний об устранении нарушений за период с 2019 по 2022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C67E11" w:rsidRPr="00BC2ECF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477"/>
        <w:gridCol w:w="2477"/>
        <w:gridCol w:w="2477"/>
      </w:tblGrid>
      <w:tr w:rsidR="00C67E11" w:rsidTr="00F44D1D">
        <w:tc>
          <w:tcPr>
            <w:tcW w:w="2476" w:type="dxa"/>
            <w:shd w:val="clear" w:color="auto" w:fill="DAEEF3" w:themeFill="accent5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477" w:type="dxa"/>
            <w:shd w:val="clear" w:color="auto" w:fill="DAEEF3" w:themeFill="accent5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477" w:type="dxa"/>
            <w:shd w:val="clear" w:color="auto" w:fill="DAEEF3" w:themeFill="accent5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477" w:type="dxa"/>
            <w:shd w:val="clear" w:color="auto" w:fill="DAEEF3" w:themeFill="accent5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C67E11" w:rsidTr="00F44D1D">
        <w:tc>
          <w:tcPr>
            <w:tcW w:w="2476" w:type="dxa"/>
            <w:shd w:val="clear" w:color="auto" w:fill="DAEEF3" w:themeFill="accent5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477" w:type="dxa"/>
            <w:shd w:val="clear" w:color="auto" w:fill="DAEEF3" w:themeFill="accent5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2477" w:type="dxa"/>
            <w:shd w:val="clear" w:color="auto" w:fill="DAEEF3" w:themeFill="accent5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2477" w:type="dxa"/>
            <w:shd w:val="clear" w:color="auto" w:fill="DAEEF3" w:themeFill="accent5" w:themeFillTint="33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753</w:t>
            </w:r>
          </w:p>
        </w:tc>
      </w:tr>
    </w:tbl>
    <w:p w:rsidR="00C67E11" w:rsidRPr="0083771A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11" w:rsidRDefault="00C67E11" w:rsidP="00C6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C6A00" wp14:editId="138B533A">
            <wp:extent cx="5486400" cy="3200400"/>
            <wp:effectExtent l="3810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7E11" w:rsidRDefault="00C67E11" w:rsidP="00C6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11" w:rsidRDefault="00C67E11" w:rsidP="00C6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11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</w:t>
      </w:r>
      <w:r w:rsidRPr="0083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в 2022 году выданных </w:t>
      </w:r>
      <w:r w:rsidRPr="006D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 об устранении нарушений при строительстве,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 действием  постановления</w:t>
      </w:r>
      <w:r w:rsidRPr="008E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57D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8E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10.03.2022 N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дзора), муниципального контроля», предусматривающего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F0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контролируемому лицу предписания об устранении выявленных нарушений исключительно, в случае, если в ходе контрольного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надзорного)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 </w:t>
      </w:r>
    </w:p>
    <w:p w:rsidR="00C67E11" w:rsidRPr="00333237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237">
        <w:rPr>
          <w:rFonts w:ascii="Times New Roman" w:hAnsi="Times New Roman" w:cs="Times New Roman"/>
          <w:sz w:val="28"/>
          <w:szCs w:val="28"/>
        </w:rPr>
        <w:t>По результатам проведенных комитетом проверок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37">
        <w:rPr>
          <w:rFonts w:ascii="Times New Roman" w:hAnsi="Times New Roman" w:cs="Times New Roman"/>
          <w:sz w:val="28"/>
          <w:szCs w:val="28"/>
        </w:rPr>
        <w:t>регионального государственного строительного надзора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37">
        <w:rPr>
          <w:rFonts w:ascii="Times New Roman" w:hAnsi="Times New Roman" w:cs="Times New Roman"/>
          <w:sz w:val="28"/>
          <w:szCs w:val="28"/>
        </w:rPr>
        <w:t>осуществления производств по делам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37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3332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2021 году комитетом вынесено 261 постановление</w:t>
      </w:r>
      <w:r w:rsidRPr="00333237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3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3237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33237">
        <w:rPr>
          <w:rFonts w:ascii="Times New Roman" w:hAnsi="Times New Roman" w:cs="Times New Roman"/>
          <w:sz w:val="28"/>
          <w:szCs w:val="28"/>
        </w:rPr>
        <w:t>), из них с назначением административных наказаний:</w:t>
      </w:r>
    </w:p>
    <w:p w:rsidR="00C67E11" w:rsidRPr="00333237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3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33237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2, 3</w:t>
      </w:r>
      <w:r w:rsidRPr="00333237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 9.4 КоАП РФ – 145 (в 2021 – 201</w:t>
      </w:r>
      <w:r w:rsidRPr="00333237">
        <w:rPr>
          <w:rFonts w:ascii="Times New Roman" w:hAnsi="Times New Roman" w:cs="Times New Roman"/>
          <w:sz w:val="28"/>
          <w:szCs w:val="28"/>
        </w:rPr>
        <w:t>);</w:t>
      </w:r>
    </w:p>
    <w:p w:rsidR="00C67E11" w:rsidRPr="00333237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37">
        <w:rPr>
          <w:rFonts w:ascii="Times New Roman" w:hAnsi="Times New Roman" w:cs="Times New Roman"/>
          <w:sz w:val="28"/>
          <w:szCs w:val="28"/>
        </w:rPr>
        <w:t>по ч. 1</w:t>
      </w:r>
      <w:r>
        <w:rPr>
          <w:rFonts w:ascii="Times New Roman" w:hAnsi="Times New Roman" w:cs="Times New Roman"/>
          <w:sz w:val="28"/>
          <w:szCs w:val="28"/>
        </w:rPr>
        <w:t xml:space="preserve"> ст. 9.5 КоАП РФ – 6 (в 2021 – 4</w:t>
      </w:r>
      <w:r w:rsidRPr="00333237">
        <w:rPr>
          <w:rFonts w:ascii="Times New Roman" w:hAnsi="Times New Roman" w:cs="Times New Roman"/>
          <w:sz w:val="28"/>
          <w:szCs w:val="28"/>
        </w:rPr>
        <w:t>);</w:t>
      </w:r>
    </w:p>
    <w:p w:rsidR="00C67E11" w:rsidRPr="00333237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3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ч. 2 ст. 9.5 КоАП РФ – 6 (в 2021</w:t>
      </w:r>
      <w:r w:rsidRPr="00333237">
        <w:rPr>
          <w:rFonts w:ascii="Times New Roman" w:hAnsi="Times New Roman" w:cs="Times New Roman"/>
          <w:sz w:val="28"/>
          <w:szCs w:val="28"/>
        </w:rPr>
        <w:t xml:space="preserve"> – 1);</w:t>
      </w:r>
    </w:p>
    <w:p w:rsidR="00C67E11" w:rsidRPr="00333237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37">
        <w:rPr>
          <w:rFonts w:ascii="Times New Roman" w:hAnsi="Times New Roman" w:cs="Times New Roman"/>
          <w:sz w:val="28"/>
          <w:szCs w:val="28"/>
        </w:rPr>
        <w:t>по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237">
        <w:rPr>
          <w:rFonts w:ascii="Times New Roman" w:hAnsi="Times New Roman" w:cs="Times New Roman"/>
          <w:sz w:val="28"/>
          <w:szCs w:val="28"/>
        </w:rPr>
        <w:t>5 ст. 9</w:t>
      </w:r>
      <w:r>
        <w:rPr>
          <w:rFonts w:ascii="Times New Roman" w:hAnsi="Times New Roman" w:cs="Times New Roman"/>
          <w:sz w:val="28"/>
          <w:szCs w:val="28"/>
        </w:rPr>
        <w:t>.5КоАП РФ – 1 (в 2021 – 1</w:t>
      </w:r>
      <w:r w:rsidRPr="00333237">
        <w:rPr>
          <w:rFonts w:ascii="Times New Roman" w:hAnsi="Times New Roman" w:cs="Times New Roman"/>
          <w:sz w:val="28"/>
          <w:szCs w:val="28"/>
        </w:rPr>
        <w:t>).</w:t>
      </w:r>
    </w:p>
    <w:p w:rsidR="00C67E11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237">
        <w:rPr>
          <w:rFonts w:ascii="Times New Roman" w:hAnsi="Times New Roman" w:cs="Times New Roman"/>
          <w:sz w:val="28"/>
          <w:szCs w:val="28"/>
        </w:rPr>
        <w:t>Общая сумма наложенных комитето</w:t>
      </w:r>
      <w:r>
        <w:rPr>
          <w:rFonts w:ascii="Times New Roman" w:hAnsi="Times New Roman" w:cs="Times New Roman"/>
          <w:sz w:val="28"/>
          <w:szCs w:val="28"/>
        </w:rPr>
        <w:t xml:space="preserve">м штрафов (с учетом снижений по </w:t>
      </w:r>
      <w:r w:rsidRPr="00333237">
        <w:rPr>
          <w:rFonts w:ascii="Times New Roman" w:hAnsi="Times New Roman" w:cs="Times New Roman"/>
          <w:sz w:val="28"/>
          <w:szCs w:val="28"/>
        </w:rPr>
        <w:t>решению суда) –</w:t>
      </w:r>
      <w:r>
        <w:rPr>
          <w:rFonts w:ascii="Times New Roman" w:hAnsi="Times New Roman" w:cs="Times New Roman"/>
          <w:sz w:val="28"/>
          <w:szCs w:val="28"/>
        </w:rPr>
        <w:t xml:space="preserve"> 21 523 000 </w:t>
      </w:r>
      <w:r w:rsidRPr="00333237">
        <w:rPr>
          <w:rFonts w:ascii="Times New Roman" w:hAnsi="Times New Roman" w:cs="Times New Roman"/>
          <w:sz w:val="28"/>
          <w:szCs w:val="28"/>
        </w:rPr>
        <w:t>руб. (в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3237">
        <w:rPr>
          <w:rFonts w:ascii="Times New Roman" w:hAnsi="Times New Roman" w:cs="Times New Roman"/>
          <w:sz w:val="28"/>
          <w:szCs w:val="28"/>
        </w:rPr>
        <w:t xml:space="preserve"> – 25 150 000 руб.).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96"/>
        <w:gridCol w:w="1417"/>
        <w:gridCol w:w="1702"/>
      </w:tblGrid>
      <w:tr w:rsidR="00C67E11" w:rsidRPr="00C96537" w:rsidTr="00F44D1D">
        <w:tc>
          <w:tcPr>
            <w:tcW w:w="7196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left="432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надзор</w:t>
            </w:r>
          </w:p>
        </w:tc>
      </w:tr>
      <w:tr w:rsidR="00C67E11" w:rsidRPr="00C96537" w:rsidTr="00F44D1D">
        <w:tc>
          <w:tcPr>
            <w:tcW w:w="7196" w:type="dxa"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дел о правонарушениях в области строительства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  <w:r w:rsidRPr="00C9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7E11" w:rsidRPr="00C96537" w:rsidTr="00F44D1D">
        <w:tc>
          <w:tcPr>
            <w:tcW w:w="7196" w:type="dxa"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 вынесены постановления:</w:t>
            </w:r>
          </w:p>
          <w:p w:rsidR="00C67E11" w:rsidRPr="00C96537" w:rsidRDefault="00C67E11" w:rsidP="00F4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прекращении производства по делу</w:t>
            </w:r>
          </w:p>
          <w:p w:rsidR="00C67E11" w:rsidRPr="00C96537" w:rsidRDefault="00C67E11" w:rsidP="00F4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вынесении предупреждения</w:t>
            </w:r>
          </w:p>
          <w:p w:rsidR="00C67E11" w:rsidRPr="00C96537" w:rsidRDefault="00C67E11" w:rsidP="00F4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наложении штрафа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</w:p>
        </w:tc>
      </w:tr>
      <w:tr w:rsidR="00C67E11" w:rsidRPr="00C96537" w:rsidTr="00F44D1D">
        <w:trPr>
          <w:trHeight w:val="161"/>
        </w:trPr>
        <w:tc>
          <w:tcPr>
            <w:tcW w:w="7196" w:type="dxa"/>
            <w:vMerge w:val="restart"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Распределение  наложенных  штрафов  по  видам  правонарушений, всего: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158</w:t>
            </w:r>
          </w:p>
        </w:tc>
      </w:tr>
      <w:tr w:rsidR="00C67E11" w:rsidRPr="00C96537" w:rsidTr="00F44D1D">
        <w:trPr>
          <w:trHeight w:val="282"/>
        </w:trPr>
        <w:tc>
          <w:tcPr>
            <w:tcW w:w="7196" w:type="dxa"/>
            <w:vMerge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21 523</w:t>
            </w:r>
          </w:p>
        </w:tc>
      </w:tr>
      <w:tr w:rsidR="00C67E11" w:rsidRPr="00C96537" w:rsidTr="00F44D1D">
        <w:trPr>
          <w:trHeight w:val="155"/>
        </w:trPr>
        <w:tc>
          <w:tcPr>
            <w:tcW w:w="7196" w:type="dxa"/>
            <w:vMerge w:val="restart"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требований проектной документации, обязательных требований при строительстве, реконструкции объектов капитального строительства, в том числе при применении строительных материалов (ст. 9.4 КоАП РФ)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C67E11" w:rsidRPr="00C96537" w:rsidTr="00F44D1D">
        <w:trPr>
          <w:trHeight w:val="249"/>
        </w:trPr>
        <w:tc>
          <w:tcPr>
            <w:tcW w:w="7196" w:type="dxa"/>
            <w:vMerge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19 943</w:t>
            </w:r>
          </w:p>
        </w:tc>
      </w:tr>
      <w:tr w:rsidR="00C67E11" w:rsidRPr="00C96537" w:rsidTr="00F44D1D">
        <w:trPr>
          <w:trHeight w:val="145"/>
        </w:trPr>
        <w:tc>
          <w:tcPr>
            <w:tcW w:w="7196" w:type="dxa"/>
            <w:vMerge w:val="restart"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без разрешения на строительство </w:t>
            </w:r>
          </w:p>
          <w:p w:rsidR="00C67E11" w:rsidRPr="00C96537" w:rsidRDefault="00C67E11" w:rsidP="00F44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ст.9.5 КоАП РФ)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7E11" w:rsidRPr="00C96537" w:rsidTr="00F44D1D">
        <w:trPr>
          <w:trHeight w:val="231"/>
        </w:trPr>
        <w:tc>
          <w:tcPr>
            <w:tcW w:w="7196" w:type="dxa"/>
            <w:vMerge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C67E11" w:rsidRPr="00C96537" w:rsidTr="00F44D1D">
        <w:trPr>
          <w:trHeight w:val="275"/>
        </w:trPr>
        <w:tc>
          <w:tcPr>
            <w:tcW w:w="7196" w:type="dxa"/>
            <w:vMerge w:val="restart"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объекта без разрешения на ввод его в эксплуатацию (ч. 5 ст.9.5 КоАП РФ)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7E11" w:rsidRPr="00C96537" w:rsidTr="00F44D1D">
        <w:trPr>
          <w:trHeight w:val="225"/>
        </w:trPr>
        <w:tc>
          <w:tcPr>
            <w:tcW w:w="7196" w:type="dxa"/>
            <w:vMerge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67E11" w:rsidRPr="00C96537" w:rsidTr="00F44D1D">
        <w:trPr>
          <w:trHeight w:val="225"/>
        </w:trPr>
        <w:tc>
          <w:tcPr>
            <w:tcW w:w="7196" w:type="dxa"/>
            <w:vMerge w:val="restart"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сроков направления извещения о начале строительства (ч. 2 ст.9.5 КоАП РФ)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7E11" w:rsidRPr="00C96537" w:rsidTr="00F44D1D">
        <w:trPr>
          <w:trHeight w:val="225"/>
        </w:trPr>
        <w:tc>
          <w:tcPr>
            <w:tcW w:w="7196" w:type="dxa"/>
            <w:vMerge/>
            <w:shd w:val="clear" w:color="auto" w:fill="FFFFFF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C67E11" w:rsidRPr="00C96537" w:rsidRDefault="00C67E11" w:rsidP="00F44D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</w:tbl>
    <w:p w:rsidR="00C67E11" w:rsidRPr="00C96537" w:rsidRDefault="00C67E11" w:rsidP="00C67E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7E11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E11" w:rsidRPr="0083771A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комитетом проверок  в рамках регионального государственного строительного надзора за период с 2016 по 2022</w:t>
      </w:r>
      <w:r w:rsidRPr="0083771A">
        <w:rPr>
          <w:rFonts w:ascii="Times New Roman" w:hAnsi="Times New Roman" w:cs="Times New Roman"/>
          <w:sz w:val="28"/>
          <w:szCs w:val="28"/>
        </w:rPr>
        <w:t xml:space="preserve"> годы случаев признания </w:t>
      </w:r>
      <w:proofErr w:type="gramStart"/>
      <w:r w:rsidRPr="0083771A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83771A">
        <w:rPr>
          <w:rFonts w:ascii="Times New Roman" w:hAnsi="Times New Roman" w:cs="Times New Roman"/>
          <w:sz w:val="28"/>
          <w:szCs w:val="28"/>
        </w:rPr>
        <w:t xml:space="preserve"> результатов проверок, не зафиксировано. </w:t>
      </w:r>
    </w:p>
    <w:p w:rsidR="00C67E11" w:rsidRPr="0083771A" w:rsidRDefault="00C67E11" w:rsidP="00C6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71A">
        <w:rPr>
          <w:rFonts w:ascii="Times New Roman" w:hAnsi="Times New Roman" w:cs="Times New Roman"/>
          <w:sz w:val="28"/>
          <w:szCs w:val="28"/>
        </w:rPr>
        <w:tab/>
        <w:t xml:space="preserve">Случаев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</w:t>
      </w:r>
      <w:r w:rsidRPr="0083771A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</w:t>
      </w:r>
      <w:hyperlink r:id="rId9" w:history="1">
        <w:r w:rsidRPr="0083771A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83771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порядке проведения проверок, по результатам выявления которых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3771A">
        <w:rPr>
          <w:rFonts w:ascii="Times New Roman" w:hAnsi="Times New Roman" w:cs="Times New Roman"/>
          <w:sz w:val="28"/>
          <w:szCs w:val="28"/>
          <w:lang w:eastAsia="ru-RU"/>
        </w:rPr>
        <w:t xml:space="preserve"> к должностным лицам департамента государственного строительного надзора, осуществившим такие проверки, применены меры дисциплинарного или административног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наказания в 2022</w:t>
      </w:r>
      <w:r w:rsidRPr="0083771A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771A">
        <w:rPr>
          <w:rFonts w:ascii="Times New Roman" w:hAnsi="Times New Roman" w:cs="Times New Roman"/>
          <w:sz w:val="28"/>
          <w:szCs w:val="28"/>
          <w:lang w:eastAsia="ru-RU"/>
        </w:rPr>
        <w:t>не зафиксировано.</w:t>
      </w:r>
      <w:r w:rsidRPr="00D644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7E11" w:rsidRDefault="00C67E11" w:rsidP="00C6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В течение 2022</w:t>
      </w:r>
      <w:r w:rsidRPr="00D6449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4494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комитетом продолжалась работа по реализации требований законодательства о </w:t>
      </w:r>
      <w:proofErr w:type="gramStart"/>
      <w:r w:rsidRPr="00D64494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D64494">
        <w:rPr>
          <w:rFonts w:ascii="Times New Roman" w:hAnsi="Times New Roman" w:cs="Times New Roman"/>
          <w:sz w:val="28"/>
          <w:szCs w:val="28"/>
          <w:lang w:eastAsia="ru-RU"/>
        </w:rPr>
        <w:t xml:space="preserve"> самовольными постройками; в результате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ерок, проводимых комитетом, был выявлен 1 случай</w:t>
      </w:r>
      <w:r w:rsidRPr="00D64494">
        <w:rPr>
          <w:rFonts w:ascii="Times New Roman" w:hAnsi="Times New Roman" w:cs="Times New Roman"/>
          <w:sz w:val="28"/>
          <w:szCs w:val="28"/>
          <w:lang w:eastAsia="ru-RU"/>
        </w:rPr>
        <w:t xml:space="preserve"> самовольного строительства. </w:t>
      </w:r>
    </w:p>
    <w:p w:rsidR="00C67E11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период с 2019 по 2022 годы  в</w:t>
      </w:r>
      <w:r w:rsidRPr="00D64494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</w:t>
      </w:r>
      <w:r w:rsidRPr="00D6449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32 уведомления</w:t>
      </w:r>
      <w:r w:rsidRPr="00D64494">
        <w:rPr>
          <w:rFonts w:ascii="Times New Roman" w:hAnsi="Times New Roman" w:cs="Times New Roman"/>
          <w:sz w:val="28"/>
          <w:szCs w:val="28"/>
          <w:lang w:eastAsia="ru-RU"/>
        </w:rPr>
        <w:t xml:space="preserve"> о выявлении самовольных построек с приложением документов, подтверждающих соответствующие факты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644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7E11" w:rsidRDefault="00C67E11" w:rsidP="00C67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E11" w:rsidRPr="00BC2ECF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2ECF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уведомлений о выявлении самовольных построек</w:t>
      </w:r>
      <w:r w:rsidRPr="00BC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с 2019 по 2022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68"/>
        <w:gridCol w:w="2477"/>
        <w:gridCol w:w="2477"/>
        <w:gridCol w:w="2601"/>
      </w:tblGrid>
      <w:tr w:rsidR="00C67E11" w:rsidTr="00F44D1D">
        <w:tc>
          <w:tcPr>
            <w:tcW w:w="2368" w:type="dxa"/>
            <w:shd w:val="clear" w:color="auto" w:fill="D6E3BC" w:themeFill="accent3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477" w:type="dxa"/>
            <w:shd w:val="clear" w:color="auto" w:fill="D6E3BC" w:themeFill="accent3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477" w:type="dxa"/>
            <w:shd w:val="clear" w:color="auto" w:fill="D6E3BC" w:themeFill="accent3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601" w:type="dxa"/>
            <w:shd w:val="clear" w:color="auto" w:fill="D6E3BC" w:themeFill="accent3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C67E11" w:rsidTr="00F44D1D">
        <w:tc>
          <w:tcPr>
            <w:tcW w:w="2368" w:type="dxa"/>
            <w:shd w:val="clear" w:color="auto" w:fill="D6E3BC" w:themeFill="accent3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7" w:type="dxa"/>
            <w:shd w:val="clear" w:color="auto" w:fill="D6E3BC" w:themeFill="accent3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7" w:type="dxa"/>
            <w:shd w:val="clear" w:color="auto" w:fill="D6E3BC" w:themeFill="accent3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01" w:type="dxa"/>
            <w:shd w:val="clear" w:color="auto" w:fill="D6E3BC" w:themeFill="accent3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C67E11" w:rsidRDefault="00C67E11" w:rsidP="00C6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11" w:rsidRPr="00D64494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2022</w:t>
      </w:r>
      <w:r w:rsidRPr="00D64494">
        <w:rPr>
          <w:rFonts w:ascii="Times New Roman" w:hAnsi="Times New Roman" w:cs="Times New Roman"/>
          <w:sz w:val="28"/>
          <w:szCs w:val="28"/>
        </w:rPr>
        <w:t xml:space="preserve"> году проводилась предусмотренная законодательством работа по профилактике и предупреждению нарушений юридическими лицами и индивидуальными предпринимателями обязательных требований</w:t>
      </w:r>
      <w:r w:rsidRPr="000019FE">
        <w:t xml:space="preserve"> </w:t>
      </w:r>
      <w:r w:rsidRPr="000019FE">
        <w:rPr>
          <w:rFonts w:ascii="Times New Roman" w:hAnsi="Times New Roman" w:cs="Times New Roman"/>
          <w:sz w:val="28"/>
          <w:szCs w:val="28"/>
        </w:rPr>
        <w:t>при строительстве, реконструкции объектов капитального строительства</w:t>
      </w:r>
      <w:r w:rsidRPr="00D64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E11" w:rsidRPr="00D64494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4">
        <w:rPr>
          <w:rFonts w:ascii="Times New Roman" w:hAnsi="Times New Roman" w:cs="Times New Roman"/>
          <w:sz w:val="28"/>
          <w:szCs w:val="28"/>
        </w:rPr>
        <w:t>В рамках работы по пр</w:t>
      </w:r>
      <w:r>
        <w:rPr>
          <w:rFonts w:ascii="Times New Roman" w:hAnsi="Times New Roman" w:cs="Times New Roman"/>
          <w:sz w:val="28"/>
          <w:szCs w:val="28"/>
        </w:rPr>
        <w:t>офилактике правонарушений в 2022</w:t>
      </w:r>
      <w:r w:rsidRPr="00D6449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D64494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семинара </w:t>
      </w:r>
      <w:r w:rsidRPr="00D64494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при строительстве,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1 </w:t>
      </w:r>
      <w:r w:rsidRPr="00D64494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в режиме видеоконференцсвязи. Данный семинар проводился в формате «вопрос-ответ» и  был направлен на повышение</w:t>
      </w:r>
      <w:r w:rsidRPr="00D64494">
        <w:rPr>
          <w:rFonts w:ascii="Times New Roman" w:hAnsi="Times New Roman" w:cs="Times New Roman"/>
          <w:sz w:val="28"/>
          <w:szCs w:val="28"/>
        </w:rPr>
        <w:t xml:space="preserve"> градостроительной грамотности застройщиков, технических заказчиков, ли</w:t>
      </w:r>
      <w:r>
        <w:rPr>
          <w:rFonts w:ascii="Times New Roman" w:hAnsi="Times New Roman" w:cs="Times New Roman"/>
          <w:sz w:val="28"/>
          <w:szCs w:val="28"/>
        </w:rPr>
        <w:t xml:space="preserve">ц, осуществляющих строительство. В результате проведения семинара руководителями и специалистами комитета,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приглашенными экспертами</w:t>
      </w:r>
      <w:r w:rsidRPr="00D6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участвующих лиц </w:t>
      </w:r>
      <w:r w:rsidRPr="00D64494">
        <w:rPr>
          <w:rFonts w:ascii="Times New Roman" w:hAnsi="Times New Roman" w:cs="Times New Roman"/>
          <w:sz w:val="28"/>
          <w:szCs w:val="28"/>
        </w:rPr>
        <w:t>доведена информация о многочисленных изменениях законодательства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деятельности, даны ответы на вопросы.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D6449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63 предостережения</w:t>
      </w:r>
      <w:r w:rsidRP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 юридическим лицам и индивидуальным предпринимателям по итогам рассмотрения обращений граждан и организаций, содержащих информацию о возможных нарушениях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E11" w:rsidRPr="00D26A03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 за период с 2019 по 2022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2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477"/>
        <w:gridCol w:w="2477"/>
        <w:gridCol w:w="2477"/>
      </w:tblGrid>
      <w:tr w:rsidR="00C67E11" w:rsidTr="00F44D1D">
        <w:tc>
          <w:tcPr>
            <w:tcW w:w="2476" w:type="dxa"/>
            <w:shd w:val="clear" w:color="auto" w:fill="FBD4B4" w:themeFill="accent6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477" w:type="dxa"/>
            <w:shd w:val="clear" w:color="auto" w:fill="FBD4B4" w:themeFill="accent6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477" w:type="dxa"/>
            <w:shd w:val="clear" w:color="auto" w:fill="FBD4B4" w:themeFill="accent6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477" w:type="dxa"/>
            <w:shd w:val="clear" w:color="auto" w:fill="FBD4B4" w:themeFill="accent6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C67E11" w:rsidTr="00F44D1D">
        <w:tc>
          <w:tcPr>
            <w:tcW w:w="2476" w:type="dxa"/>
            <w:shd w:val="clear" w:color="auto" w:fill="FBD4B4" w:themeFill="accent6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77" w:type="dxa"/>
            <w:shd w:val="clear" w:color="auto" w:fill="FBD4B4" w:themeFill="accent6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77" w:type="dxa"/>
            <w:shd w:val="clear" w:color="auto" w:fill="FBD4B4" w:themeFill="accent6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77" w:type="dxa"/>
            <w:shd w:val="clear" w:color="auto" w:fill="FBD4B4" w:themeFill="accent6" w:themeFillTint="66"/>
          </w:tcPr>
          <w:p w:rsidR="00C67E11" w:rsidRDefault="00C67E11" w:rsidP="00F44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67E11" w:rsidRPr="00D64494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4">
        <w:rPr>
          <w:rFonts w:ascii="Times New Roman" w:hAnsi="Times New Roman" w:cs="Times New Roman"/>
          <w:sz w:val="28"/>
          <w:szCs w:val="28"/>
        </w:rPr>
        <w:t xml:space="preserve">Проведенный анализ показателей осуществления регионального государственного строительного надзора </w:t>
      </w:r>
      <w:r w:rsidRPr="00D26A03">
        <w:rPr>
          <w:rFonts w:ascii="Times New Roman" w:hAnsi="Times New Roman" w:cs="Times New Roman"/>
          <w:sz w:val="28"/>
          <w:szCs w:val="28"/>
          <w:u w:val="single"/>
        </w:rPr>
        <w:t>свидетельствует</w:t>
      </w:r>
      <w:r w:rsidRPr="00D64494">
        <w:rPr>
          <w:rFonts w:ascii="Times New Roman" w:hAnsi="Times New Roman" w:cs="Times New Roman"/>
          <w:sz w:val="28"/>
          <w:szCs w:val="28"/>
        </w:rPr>
        <w:t xml:space="preserve"> об осуществлении данной деятельности с соблюдением требований действующего законодательства Российской Федерации, без нарушений установленного порядка осуществления надзора.</w:t>
      </w:r>
    </w:p>
    <w:p w:rsidR="00C67E11" w:rsidRPr="00D64494" w:rsidRDefault="00C67E11" w:rsidP="00C67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204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сохранить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2020 годов</w:t>
      </w:r>
      <w:r w:rsidRP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эффективности деятельности по осуществлению регионального государственного строительного надзора. </w:t>
      </w:r>
    </w:p>
    <w:p w:rsidR="00C67E11" w:rsidRPr="00D64494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494">
        <w:rPr>
          <w:rFonts w:ascii="Times New Roman" w:hAnsi="Times New Roman" w:cs="Times New Roman"/>
          <w:sz w:val="28"/>
          <w:szCs w:val="28"/>
        </w:rPr>
        <w:t>Одной из главных задач в части осуществления регионального государственно</w:t>
      </w:r>
      <w:r>
        <w:rPr>
          <w:rFonts w:ascii="Times New Roman" w:hAnsi="Times New Roman" w:cs="Times New Roman"/>
          <w:sz w:val="28"/>
          <w:szCs w:val="28"/>
        </w:rPr>
        <w:t>го строительного надзора на 2022</w:t>
      </w:r>
      <w:r w:rsidRPr="00D64494">
        <w:rPr>
          <w:rFonts w:ascii="Times New Roman" w:hAnsi="Times New Roman" w:cs="Times New Roman"/>
          <w:sz w:val="28"/>
          <w:szCs w:val="28"/>
        </w:rPr>
        <w:t xml:space="preserve"> год явля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D6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департамента государственного строительного надзора, направленная на предупреждение, выявление и пресечение нарушений обязательных требований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восстановлению правового положения, существовавшего до возникновения таких нарушений в отношении</w:t>
      </w:r>
      <w:r w:rsidRPr="00D64494">
        <w:rPr>
          <w:rFonts w:ascii="Times New Roman" w:hAnsi="Times New Roman" w:cs="Times New Roman"/>
          <w:sz w:val="28"/>
          <w:szCs w:val="28"/>
        </w:rPr>
        <w:t xml:space="preserve"> находящихся под надзором объектов капитального строительства</w:t>
      </w:r>
      <w:r w:rsidRPr="00E95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Pr="00D64494">
        <w:rPr>
          <w:rFonts w:ascii="Times New Roman" w:hAnsi="Times New Roman" w:cs="Times New Roman"/>
          <w:sz w:val="28"/>
          <w:szCs w:val="28"/>
        </w:rPr>
        <w:t>.</w:t>
      </w:r>
    </w:p>
    <w:p w:rsidR="00C67E11" w:rsidRPr="00D64494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D64494">
        <w:rPr>
          <w:rFonts w:ascii="Times New Roman" w:hAnsi="Times New Roman" w:cs="Times New Roman"/>
          <w:sz w:val="28"/>
          <w:szCs w:val="28"/>
        </w:rPr>
        <w:t xml:space="preserve"> году продолж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D64494">
        <w:rPr>
          <w:rFonts w:ascii="Times New Roman" w:hAnsi="Times New Roman" w:cs="Times New Roman"/>
          <w:sz w:val="28"/>
          <w:szCs w:val="28"/>
        </w:rPr>
        <w:t xml:space="preserve"> практика предупреждения нарушений обязательных требований 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D64494">
        <w:rPr>
          <w:rFonts w:ascii="Times New Roman" w:hAnsi="Times New Roman" w:cs="Times New Roman"/>
          <w:sz w:val="28"/>
          <w:szCs w:val="28"/>
        </w:rPr>
        <w:t>мероприятий,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4494">
        <w:rPr>
          <w:rFonts w:ascii="Times New Roman" w:hAnsi="Times New Roman" w:cs="Times New Roman"/>
          <w:sz w:val="28"/>
          <w:szCs w:val="28"/>
        </w:rPr>
        <w:t xml:space="preserve"> более активно использ</w:t>
      </w:r>
      <w:r>
        <w:rPr>
          <w:rFonts w:ascii="Times New Roman" w:hAnsi="Times New Roman" w:cs="Times New Roman"/>
          <w:sz w:val="28"/>
          <w:szCs w:val="28"/>
        </w:rPr>
        <w:t>овалось</w:t>
      </w:r>
      <w:r w:rsidRPr="00D64494">
        <w:rPr>
          <w:rFonts w:ascii="Times New Roman" w:hAnsi="Times New Roman" w:cs="Times New Roman"/>
          <w:sz w:val="28"/>
          <w:szCs w:val="28"/>
        </w:rPr>
        <w:t xml:space="preserve"> предоставленное право по объявлению предостережений о недопустимости нарушения обязательных требований в случаях, предусмотренных действующим законодательством.           </w:t>
      </w:r>
    </w:p>
    <w:p w:rsidR="00C67E11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Pr="00D64494">
        <w:rPr>
          <w:rFonts w:ascii="Times New Roman" w:hAnsi="Times New Roman" w:cs="Times New Roman"/>
          <w:sz w:val="28"/>
          <w:szCs w:val="28"/>
        </w:rPr>
        <w:t xml:space="preserve"> законодательство в градостроительной сфере претерпело ряд существенных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изменений. </w:t>
      </w:r>
    </w:p>
    <w:p w:rsidR="00C67E11" w:rsidRPr="00D64494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4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переработана  система </w:t>
      </w:r>
      <w:hyperlink r:id="rId10" w:history="1">
        <w:r w:rsidRPr="00D64494">
          <w:rPr>
            <w:rFonts w:ascii="Times New Roman" w:hAnsi="Times New Roman" w:cs="Times New Roman"/>
            <w:sz w:val="28"/>
            <w:szCs w:val="28"/>
          </w:rPr>
          <w:t>обязательных требований</w:t>
        </w:r>
      </w:hyperlink>
      <w:r w:rsidRPr="00D64494">
        <w:rPr>
          <w:rFonts w:ascii="Times New Roman" w:hAnsi="Times New Roman" w:cs="Times New Roman"/>
          <w:sz w:val="28"/>
          <w:szCs w:val="28"/>
        </w:rPr>
        <w:t>, соблюдение которых оценива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64494">
        <w:rPr>
          <w:rFonts w:ascii="Times New Roman" w:hAnsi="Times New Roman" w:cs="Times New Roman"/>
          <w:sz w:val="28"/>
          <w:szCs w:val="28"/>
        </w:rPr>
        <w:t xml:space="preserve"> при осуществлении  государственного и муниципального контроля (надзора). Акты с такими положениями </w:t>
      </w:r>
      <w:r>
        <w:rPr>
          <w:rFonts w:ascii="Times New Roman" w:hAnsi="Times New Roman" w:cs="Times New Roman"/>
          <w:sz w:val="28"/>
          <w:szCs w:val="28"/>
        </w:rPr>
        <w:t>вступили</w:t>
      </w:r>
      <w:r w:rsidRPr="00D64494">
        <w:rPr>
          <w:rFonts w:ascii="Times New Roman" w:hAnsi="Times New Roman" w:cs="Times New Roman"/>
          <w:sz w:val="28"/>
          <w:szCs w:val="28"/>
        </w:rPr>
        <w:t xml:space="preserve"> в силу в определенные Правительством Российской Федерации сроки, </w:t>
      </w:r>
      <w:r>
        <w:rPr>
          <w:rFonts w:ascii="Times New Roman" w:hAnsi="Times New Roman" w:cs="Times New Roman"/>
          <w:sz w:val="28"/>
          <w:szCs w:val="28"/>
        </w:rPr>
        <w:t xml:space="preserve">с учетом того, </w:t>
      </w:r>
      <w:r w:rsidRPr="00D64494">
        <w:rPr>
          <w:rFonts w:ascii="Times New Roman" w:hAnsi="Times New Roman" w:cs="Times New Roman"/>
          <w:sz w:val="28"/>
          <w:szCs w:val="28"/>
        </w:rPr>
        <w:t>чтобы бизнес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4494">
        <w:rPr>
          <w:rFonts w:ascii="Times New Roman" w:hAnsi="Times New Roman" w:cs="Times New Roman"/>
          <w:sz w:val="28"/>
          <w:szCs w:val="28"/>
        </w:rPr>
        <w:t xml:space="preserve"> сообщество  и граждане смогли безболезненно подготовиться к внесенным изменениям. Большинство новшеств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D64494">
        <w:rPr>
          <w:rFonts w:ascii="Times New Roman" w:hAnsi="Times New Roman" w:cs="Times New Roman"/>
          <w:sz w:val="28"/>
          <w:szCs w:val="28"/>
        </w:rPr>
        <w:t xml:space="preserve">действуют </w:t>
      </w:r>
      <w:hyperlink r:id="rId11" w:history="1">
        <w:r w:rsidRPr="00D64494">
          <w:rPr>
            <w:rFonts w:ascii="Times New Roman" w:hAnsi="Times New Roman" w:cs="Times New Roman"/>
            <w:sz w:val="28"/>
            <w:szCs w:val="28"/>
          </w:rPr>
          <w:t>с ноября</w:t>
        </w:r>
      </w:hyperlink>
      <w:r w:rsidRPr="00D64494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, а также практически весь 2022 год прошел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поэтапным внесением серьезных и глобальных изменений в сфере контрольно-надзорной деятельности. </w:t>
      </w:r>
      <w:r w:rsidRPr="00D64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11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D6449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01.07.2021 и 01.01.2022</w:t>
        </w:r>
        <w:r w:rsidRPr="00D64494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вступило в силу большинство нормативных правовых актов, в том числе</w:t>
      </w:r>
      <w:r w:rsidRPr="00367721">
        <w:t xml:space="preserve"> </w:t>
      </w:r>
      <w:r w:rsidRPr="00367721">
        <w:rPr>
          <w:rFonts w:ascii="Times New Roman" w:hAnsi="Times New Roman" w:cs="Times New Roman"/>
          <w:sz w:val="28"/>
          <w:szCs w:val="28"/>
        </w:rPr>
        <w:t xml:space="preserve">Федеральный закон от 31.07.2020 N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772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Федерации», п</w:t>
      </w:r>
      <w:r w:rsidRPr="00367721">
        <w:rPr>
          <w:rFonts w:ascii="Times New Roman" w:hAnsi="Times New Roman" w:cs="Times New Roman"/>
          <w:sz w:val="28"/>
          <w:szCs w:val="28"/>
        </w:rPr>
        <w:t>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Российской Федерации от 01.12.2021 N 2161 «</w:t>
      </w:r>
      <w:r w:rsidRPr="00367721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</w:t>
      </w:r>
      <w:proofErr w:type="gramEnd"/>
      <w:r w:rsidRPr="00367721">
        <w:rPr>
          <w:rFonts w:ascii="Times New Roman" w:hAnsi="Times New Roman" w:cs="Times New Roman"/>
          <w:sz w:val="28"/>
          <w:szCs w:val="28"/>
        </w:rPr>
        <w:t xml:space="preserve"> июня 2021 г. N 1087 и </w:t>
      </w:r>
      <w:proofErr w:type="gramStart"/>
      <w:r w:rsidRPr="00367721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367721">
        <w:rPr>
          <w:rFonts w:ascii="Times New Roman" w:hAnsi="Times New Roman" w:cs="Times New Roman"/>
          <w:sz w:val="28"/>
          <w:szCs w:val="28"/>
        </w:rPr>
        <w:t xml:space="preserve"> утратившими силу некоторых актов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Федерации». </w:t>
      </w:r>
    </w:p>
    <w:p w:rsidR="00C67E11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2021 года проводимые комитетом документарные и выездные проверки не могли превышать период в 20 рабочих дней. </w:t>
      </w:r>
    </w:p>
    <w:p w:rsidR="00C67E11" w:rsidRPr="0083771A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01.01.2022 документарная проверка уже  длится не более </w:t>
      </w:r>
      <w:hyperlink r:id="rId13" w:history="1">
        <w:r w:rsidRPr="0083771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рабочих дней</w:t>
        </w:r>
      </w:hyperlink>
      <w:r w:rsidRPr="0083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документарной проверки </w:t>
      </w:r>
      <w:r w:rsidRPr="0083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отсчитывается от момента, когда истребованные документы представлены проверяющим. </w:t>
      </w:r>
    </w:p>
    <w:p w:rsidR="00C67E11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 осуществляется в срок, не превышающий</w:t>
      </w:r>
      <w:r w:rsidRPr="0083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83771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рабочих дней</w:t>
        </w:r>
      </w:hyperlink>
      <w:r w:rsidRPr="0083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Общее время взаимодействия контролирующего органа с предприятиями малого бизнеса ограничено, не более 15 часов -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более 50 часов - для остальных.</w:t>
      </w:r>
    </w:p>
    <w:p w:rsidR="00C67E11" w:rsidRPr="0083771A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Инспекционный визит - не более </w:t>
      </w:r>
      <w:hyperlink r:id="rId15" w:history="1">
        <w:r w:rsidRPr="0083771A">
          <w:rPr>
            <w:rFonts w:ascii="Times New Roman" w:hAnsi="Times New Roman" w:cs="Times New Roman"/>
            <w:color w:val="000000" w:themeColor="text1"/>
            <w:sz w:val="28"/>
            <w:szCs w:val="28"/>
          </w:rPr>
          <w:t>1 рабочего дня</w:t>
        </w:r>
      </w:hyperlink>
      <w:r w:rsidRPr="0083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одном объекте.</w:t>
      </w:r>
    </w:p>
    <w:p w:rsidR="00C67E11" w:rsidRPr="0083771A" w:rsidRDefault="00C67E11" w:rsidP="00C67E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Рейдовый осмотр - не более </w:t>
      </w:r>
      <w:hyperlink r:id="rId16" w:history="1">
        <w:r w:rsidRPr="0083771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рабочих дней</w:t>
        </w:r>
      </w:hyperlink>
      <w:r w:rsidRPr="0083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не более 1 рабочего дня на взаимодействие с одним контролируемым лицом).</w:t>
      </w:r>
    </w:p>
    <w:p w:rsidR="00C67E11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01.01.2022  комитетом размещается предусмотренная законодательством информация о проведенных проверках в едином реестре контрольных (надзорных) мероприятий (ЕРКНМ), размещенном на сайте</w:t>
      </w:r>
      <w:r w:rsidRPr="00F2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Генеральной прокуратуры Российской Федерации. </w:t>
      </w:r>
    </w:p>
    <w:p w:rsidR="00C67E11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501"/>
      <w:r>
        <w:rPr>
          <w:rFonts w:ascii="Times New Roman" w:hAnsi="Times New Roman" w:cs="Times New Roman"/>
          <w:sz w:val="28"/>
          <w:szCs w:val="28"/>
        </w:rPr>
        <w:t xml:space="preserve">Новый реестр аккумулирует всю </w:t>
      </w:r>
      <w:hyperlink r:id="rId17" w:history="1">
        <w:r w:rsidRPr="00E564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E56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проверке: кто и когда ее проводил, какие решения принял, как их исполнили, а также о привлечении к ответственности, предусмотренной требованиями законодательства.</w:t>
      </w:r>
    </w:p>
    <w:p w:rsidR="00C67E11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подробные правила проведения мероприятий с взаимодействием с контролируемым лицом.  Мероприятия  различаются  набором  допустимых контрольно-надзорных действий, в числе которых: осмотр, досмотр, опрос, истребование документов, эксперимент и др.  Законодатель полагает, что нововведения  обеспечат представителям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дополнительные гарантии того, что инспекторы не будут действовать произвольно.</w:t>
      </w:r>
    </w:p>
    <w:p w:rsidR="00C67E11" w:rsidRPr="00AE7DB7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проверки </w:t>
      </w:r>
      <w:hyperlink r:id="rId18" w:history="1">
        <w:r w:rsidRPr="0030210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в обязательном порядке присваивается </w:t>
        </w:r>
        <w:r w:rsidRPr="00AE7DB7">
          <w:rPr>
            <w:rFonts w:ascii="Times New Roman" w:hAnsi="Times New Roman" w:cs="Times New Roman"/>
            <w:color w:val="000000" w:themeColor="text1"/>
            <w:sz w:val="28"/>
            <w:szCs w:val="28"/>
          </w:rPr>
          <w:t>QR-код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 которому</w:t>
      </w:r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контролируемому лицу </w:t>
      </w:r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>можно перейти к сведениям о проверке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размещенным</w:t>
      </w:r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(ЕРКНМ)</w:t>
      </w:r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E11" w:rsidRPr="00B204FD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получить доступ к сведениям о проверках, контролируемое лицо </w:t>
      </w:r>
      <w:hyperlink r:id="rId19" w:history="1">
        <w:r w:rsidRPr="00AE7D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может воспользоваться</w:t>
        </w:r>
      </w:hyperlink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учетной записью на портале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>осуслуг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67E11" w:rsidRPr="00BD7D1F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</w:t>
      </w:r>
      <w:hyperlink r:id="rId20" w:history="1">
        <w:r w:rsidRPr="00BD7D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детально определило</w:t>
        </w:r>
      </w:hyperlink>
      <w:r w:rsidRPr="00BD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BD7D1F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BD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 в </w:t>
      </w:r>
      <w:proofErr w:type="gramStart"/>
      <w:r w:rsidRPr="00BD7D1F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BD7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следует вносить в реестр. Установлены также уровни доступа к ним:</w:t>
      </w:r>
    </w:p>
    <w:p w:rsidR="00C67E11" w:rsidRPr="00BD7D1F" w:rsidRDefault="00C67E11" w:rsidP="00C6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D1F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открыты;</w:t>
      </w:r>
    </w:p>
    <w:p w:rsidR="00C67E11" w:rsidRPr="00BD7D1F" w:rsidRDefault="00C67E11" w:rsidP="00C6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D1F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может видеть только контролируемое лицо после авторизации;</w:t>
      </w:r>
    </w:p>
    <w:p w:rsidR="00C67E11" w:rsidRPr="00BD7D1F" w:rsidRDefault="00C67E11" w:rsidP="00C6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D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сведения доступны после окончания конкретного события.</w:t>
      </w:r>
    </w:p>
    <w:p w:rsidR="00C67E11" w:rsidRDefault="00C67E11" w:rsidP="00C6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EA65D4">
        <w:rPr>
          <w:rFonts w:ascii="Times New Roman" w:hAnsi="Times New Roman" w:cs="Times New Roman"/>
          <w:color w:val="000000" w:themeColor="text1"/>
          <w:sz w:val="28"/>
          <w:szCs w:val="28"/>
        </w:rPr>
        <w:t>проверку</w:t>
      </w:r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обжаловали в досудебном порядке </w:t>
      </w:r>
      <w:hyperlink r:id="rId21" w:history="1">
        <w:r w:rsidRPr="00AE7DB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через портал </w:t>
        </w:r>
        <w:proofErr w:type="spellStart"/>
        <w:r w:rsidRPr="00AE7D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госуслуг</w:t>
        </w:r>
        <w:proofErr w:type="spellEnd"/>
      </w:hyperlink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реестр </w:t>
      </w:r>
      <w:hyperlink r:id="rId22" w:history="1">
        <w:r w:rsidRPr="00AE7D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включат</w:t>
        </w:r>
      </w:hyperlink>
      <w:r w:rsidRPr="00AE7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жалобы, ее статус и результат рассмотрения. При судебном обжаловании в реестр </w:t>
      </w:r>
      <w:hyperlink r:id="rId23" w:history="1">
        <w:r w:rsidRPr="00AE7D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включат 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результатах, если решения либо акты проверяющих отменят или изменят.</w:t>
      </w:r>
    </w:p>
    <w:p w:rsidR="00C67E11" w:rsidRPr="00D64494" w:rsidRDefault="00C67E11" w:rsidP="00C6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проектной документации в ходе осуществления регионального строительного надзора при строительстве (реконструкции) объектов капитального строительства следует отметить продолжающуюся тенденцию снижения качества данной проектной документации. К моменту завершения строительства первоначально принятые проектные решения существенно видоизменяются. В итоге, на стадии проверки построенного объекта капитального строительства, в надзорном деле хранится несколько положительных заключений экспертизы проектной документации и столько же версий проектной документации. С введением ч. ч. 3.8, 3.9, 3.10 ст. 49 Градостроительного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изменений проектной документации возросло многократно. 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строительного надзора, кроме выявления нарушений проектной документации, было выявлено множество проблем и вопросов, влияющих на качество и сроки строительства объектов капитального строительства.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B5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строительного надзора, соблюдение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в области </w:t>
      </w:r>
      <w:r w:rsidRPr="00C37EB5">
        <w:rPr>
          <w:rFonts w:ascii="Times New Roman" w:hAnsi="Times New Roman" w:cs="Times New Roman"/>
          <w:sz w:val="28"/>
          <w:szCs w:val="28"/>
        </w:rPr>
        <w:t xml:space="preserve">охраны окружающей среды и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C37EB5">
        <w:rPr>
          <w:rFonts w:ascii="Times New Roman" w:hAnsi="Times New Roman" w:cs="Times New Roman"/>
          <w:sz w:val="28"/>
          <w:szCs w:val="28"/>
        </w:rPr>
        <w:t>санитарно-эпидемиологическо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EB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EB5">
        <w:rPr>
          <w:rFonts w:ascii="Times New Roman" w:hAnsi="Times New Roman" w:cs="Times New Roman"/>
          <w:sz w:val="28"/>
          <w:szCs w:val="28"/>
        </w:rPr>
        <w:t xml:space="preserve"> является очень важным, так как непосредственно связано с человеком и окружающей его природной средой. 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5A">
        <w:rPr>
          <w:rFonts w:ascii="Times New Roman" w:hAnsi="Times New Roman" w:cs="Times New Roman"/>
          <w:sz w:val="28"/>
          <w:szCs w:val="28"/>
        </w:rPr>
        <w:t xml:space="preserve">В настоящее время в развитие </w:t>
      </w:r>
      <w:r w:rsidRPr="00B0675A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B0675A">
        <w:rPr>
          <w:rFonts w:ascii="Times New Roman" w:hAnsi="Times New Roman" w:cs="Times New Roman"/>
          <w:sz w:val="28"/>
          <w:szCs w:val="28"/>
        </w:rPr>
        <w:t> </w:t>
      </w:r>
      <w:r w:rsidRPr="00B0675A">
        <w:rPr>
          <w:rFonts w:ascii="Times New Roman" w:hAnsi="Times New Roman" w:cs="Times New Roman"/>
          <w:bCs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 от 31.07.2020 №</w:t>
      </w:r>
      <w:r w:rsidRPr="00B0675A">
        <w:rPr>
          <w:rFonts w:ascii="Times New Roman" w:hAnsi="Times New Roman" w:cs="Times New Roman"/>
          <w:bCs/>
          <w:sz w:val="28"/>
          <w:szCs w:val="28"/>
        </w:rPr>
        <w:t>248</w:t>
      </w:r>
      <w:r w:rsidRPr="00B0675A">
        <w:rPr>
          <w:rFonts w:ascii="Times New Roman" w:hAnsi="Times New Roman" w:cs="Times New Roman"/>
          <w:sz w:val="28"/>
          <w:szCs w:val="28"/>
        </w:rPr>
        <w:t>-</w:t>
      </w:r>
      <w:r w:rsidRPr="00B0675A">
        <w:rPr>
          <w:rFonts w:ascii="Times New Roman" w:hAnsi="Times New Roman" w:cs="Times New Roman"/>
          <w:bCs/>
          <w:sz w:val="28"/>
          <w:szCs w:val="28"/>
        </w:rPr>
        <w:t>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4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56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B0675A">
        <w:rPr>
          <w:rFonts w:ascii="Times New Roman" w:hAnsi="Times New Roman" w:cs="Times New Roman"/>
          <w:sz w:val="28"/>
          <w:szCs w:val="28"/>
        </w:rPr>
        <w:t> </w:t>
      </w:r>
      <w:r w:rsidRPr="00B0675A">
        <w:rPr>
          <w:rFonts w:ascii="Times New Roman" w:hAnsi="Times New Roman" w:cs="Times New Roman"/>
          <w:bCs/>
          <w:sz w:val="28"/>
          <w:szCs w:val="28"/>
        </w:rPr>
        <w:t>государственном</w:t>
      </w:r>
      <w:r w:rsidRPr="00B0675A">
        <w:rPr>
          <w:rFonts w:ascii="Times New Roman" w:hAnsi="Times New Roman" w:cs="Times New Roman"/>
          <w:sz w:val="28"/>
          <w:szCs w:val="28"/>
        </w:rPr>
        <w:t> </w:t>
      </w:r>
      <w:r w:rsidRPr="00B0675A">
        <w:rPr>
          <w:rFonts w:ascii="Times New Roman" w:hAnsi="Times New Roman" w:cs="Times New Roman"/>
          <w:bCs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 (надзоре) и </w:t>
      </w:r>
      <w:r w:rsidRPr="00B0675A">
        <w:rPr>
          <w:rFonts w:ascii="Times New Roman" w:hAnsi="Times New Roman" w:cs="Times New Roman"/>
          <w:sz w:val="28"/>
          <w:szCs w:val="28"/>
        </w:rPr>
        <w:t>муниципальном </w:t>
      </w:r>
      <w:r w:rsidRPr="00B0675A">
        <w:rPr>
          <w:rFonts w:ascii="Times New Roman" w:hAnsi="Times New Roman" w:cs="Times New Roman"/>
          <w:bCs/>
          <w:sz w:val="28"/>
          <w:szCs w:val="28"/>
        </w:rPr>
        <w:t>контроле</w:t>
      </w:r>
      <w:r w:rsidRPr="00B0675A">
        <w:rPr>
          <w:rFonts w:ascii="Times New Roman" w:hAnsi="Times New Roman" w:cs="Times New Roman"/>
          <w:sz w:val="28"/>
          <w:szCs w:val="28"/>
        </w:rPr>
        <w:t xml:space="preserve"> в Российской Федерации» произошло глобальное усовершенствование и обновление законодательства в области охраны окружающей среды и санитарно-эпидемиологической безопасности, стартовала кампания по «снятию административных барьеров» и начала работать «регуляторная гильотина».  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Отменен</w:t>
      </w:r>
      <w:r w:rsidRPr="00B0675A">
        <w:rPr>
          <w:rFonts w:ascii="Times New Roman" w:hAnsi="Times New Roman" w:cs="Times New Roman"/>
          <w:sz w:val="28"/>
          <w:szCs w:val="28"/>
        </w:rPr>
        <w:t xml:space="preserve"> ряд основных нормативно-правовых актов Федеральных органов и</w:t>
      </w:r>
      <w:r>
        <w:rPr>
          <w:rFonts w:ascii="Times New Roman" w:hAnsi="Times New Roman" w:cs="Times New Roman"/>
          <w:sz w:val="28"/>
          <w:szCs w:val="28"/>
        </w:rPr>
        <w:t>сполнительной власти, содержащих</w:t>
      </w:r>
      <w:r w:rsidRPr="00B0675A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по контролю при осуществлении санитарно-эпидемиологического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75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-2022 годах</w:t>
      </w:r>
      <w:r w:rsidRPr="00B0675A">
        <w:rPr>
          <w:rFonts w:ascii="Times New Roman" w:hAnsi="Times New Roman" w:cs="Times New Roman"/>
          <w:sz w:val="28"/>
          <w:szCs w:val="28"/>
        </w:rPr>
        <w:t xml:space="preserve">  вступили в силу новые санитарные правила и нормы в сфере общепита, транспорта, торговли, труда, услуг, обучения, отдыха и оздоровления детей, в рез</w:t>
      </w:r>
      <w:r>
        <w:rPr>
          <w:rFonts w:ascii="Times New Roman" w:hAnsi="Times New Roman" w:cs="Times New Roman"/>
          <w:sz w:val="28"/>
          <w:szCs w:val="28"/>
        </w:rPr>
        <w:t xml:space="preserve">ультате масштабной работы были </w:t>
      </w:r>
      <w:r w:rsidRPr="00B0675A">
        <w:rPr>
          <w:rFonts w:ascii="Times New Roman" w:hAnsi="Times New Roman" w:cs="Times New Roman"/>
          <w:sz w:val="28"/>
          <w:szCs w:val="28"/>
        </w:rPr>
        <w:t>значительно сокращены, систематизированы и кодифицированы все обязательные санитарно-эпидемиологические требования.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коснулись и законодательства об охране окружающей среды, </w:t>
      </w:r>
      <w:r w:rsidRPr="00C26C9E">
        <w:rPr>
          <w:rFonts w:ascii="Times New Roman" w:hAnsi="Times New Roman" w:cs="Times New Roman"/>
          <w:sz w:val="28"/>
          <w:szCs w:val="28"/>
        </w:rPr>
        <w:t>стала обязательн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6C9E">
        <w:rPr>
          <w:rFonts w:ascii="Times New Roman" w:hAnsi="Times New Roman" w:cs="Times New Roman"/>
          <w:sz w:val="28"/>
          <w:szCs w:val="28"/>
        </w:rPr>
        <w:t xml:space="preserve"> постановка строительных площадок на учет в качестве объектов </w:t>
      </w:r>
      <w:r>
        <w:rPr>
          <w:rFonts w:ascii="Times New Roman" w:hAnsi="Times New Roman" w:cs="Times New Roman"/>
          <w:sz w:val="28"/>
          <w:szCs w:val="28"/>
        </w:rPr>
        <w:t xml:space="preserve">негативно влияющих на окружающую среду (далее – объекты </w:t>
      </w:r>
      <w:r w:rsidRPr="00C26C9E">
        <w:rPr>
          <w:rFonts w:ascii="Times New Roman" w:hAnsi="Times New Roman" w:cs="Times New Roman"/>
          <w:sz w:val="28"/>
          <w:szCs w:val="28"/>
        </w:rPr>
        <w:t>НВОС</w:t>
      </w:r>
      <w:r>
        <w:rPr>
          <w:rFonts w:ascii="Times New Roman" w:hAnsi="Times New Roman" w:cs="Times New Roman"/>
          <w:sz w:val="28"/>
          <w:szCs w:val="28"/>
        </w:rPr>
        <w:t>), изменена форма паспорта отхода, изменена форма журналов учета в области обращения с отходами, форма декларации о плате за НВОС составляется на основании нового приказа Минприроды.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</w:t>
      </w:r>
      <w:r w:rsidRPr="000730D0">
        <w:rPr>
          <w:rFonts w:ascii="Times New Roman" w:hAnsi="Times New Roman" w:cs="Times New Roman"/>
          <w:sz w:val="28"/>
          <w:szCs w:val="28"/>
        </w:rPr>
        <w:t xml:space="preserve">от 19.02.2021 № 10-оз «О регулировании отдельных вопросов в области обращения с отходами производства и потребления в Ленинградской области, о внесении изменений в </w:t>
      </w:r>
      <w:r w:rsidRPr="000730D0">
        <w:rPr>
          <w:rFonts w:ascii="Times New Roman" w:hAnsi="Times New Roman" w:cs="Times New Roman"/>
          <w:sz w:val="28"/>
          <w:szCs w:val="28"/>
        </w:rPr>
        <w:lastRenderedPageBreak/>
        <w:t>областной закон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перемещение строительных отходов на территории Ленинградской области осуществляется на основании </w:t>
      </w:r>
      <w:r w:rsidRPr="00C26C9E">
        <w:rPr>
          <w:rFonts w:ascii="Times New Roman" w:hAnsi="Times New Roman" w:cs="Times New Roman"/>
          <w:sz w:val="28"/>
          <w:szCs w:val="28"/>
        </w:rPr>
        <w:t>разрешения на перемещение отходов, содержащего индивидуальный идентификационный QR-код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6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7E11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675A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изложенные в</w:t>
      </w:r>
      <w:r w:rsidRPr="00B0675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675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0675A">
        <w:rPr>
          <w:rFonts w:ascii="Times New Roman" w:hAnsi="Times New Roman" w:cs="Times New Roman"/>
          <w:sz w:val="28"/>
          <w:szCs w:val="28"/>
        </w:rPr>
        <w:t xml:space="preserve"> поступающие на рассмотрение в сектор экологического и санитарно-эпидемиологического надзора департамента государственного строительного надзора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Pr="00B0675A">
        <w:rPr>
          <w:rFonts w:ascii="Times New Roman" w:hAnsi="Times New Roman" w:cs="Times New Roman"/>
          <w:sz w:val="28"/>
          <w:szCs w:val="28"/>
        </w:rPr>
        <w:t xml:space="preserve"> касаются нарушения покоя и тишины граждан проживающих на территории Ленинградской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По данному вопросу сотрудниками комитета объявляются предостережения </w:t>
      </w:r>
      <w:r w:rsidRPr="003B4DC2">
        <w:rPr>
          <w:rFonts w:ascii="Times New Roman" w:hAnsi="Times New Roman" w:cs="Times New Roman"/>
          <w:bCs/>
          <w:sz w:val="28"/>
          <w:szCs w:val="28"/>
        </w:rPr>
        <w:t>о недопустимости нарушения обязательных требований</w:t>
      </w:r>
      <w:r w:rsidRPr="003B4DC2">
        <w:rPr>
          <w:rFonts w:ascii="Times New Roman" w:hAnsi="Times New Roman" w:cs="Times New Roman"/>
          <w:sz w:val="28"/>
          <w:szCs w:val="28"/>
        </w:rPr>
        <w:t xml:space="preserve">. </w:t>
      </w:r>
      <w:r w:rsidRPr="00B0675A">
        <w:rPr>
          <w:rFonts w:ascii="Times New Roman" w:hAnsi="Times New Roman" w:cs="Times New Roman"/>
          <w:sz w:val="28"/>
          <w:szCs w:val="28"/>
        </w:rPr>
        <w:t xml:space="preserve">Однако нарушения на многих строительных объектах </w:t>
      </w:r>
      <w:r>
        <w:rPr>
          <w:rFonts w:ascii="Times New Roman" w:hAnsi="Times New Roman" w:cs="Times New Roman"/>
          <w:sz w:val="28"/>
          <w:szCs w:val="28"/>
        </w:rPr>
        <w:t>носят системный характер</w:t>
      </w:r>
      <w:r w:rsidRPr="00B0675A">
        <w:rPr>
          <w:rFonts w:ascii="Times New Roman" w:hAnsi="Times New Roman" w:cs="Times New Roman"/>
          <w:sz w:val="28"/>
          <w:szCs w:val="28"/>
        </w:rPr>
        <w:t xml:space="preserve">. И в развитие этой проблематики </w:t>
      </w:r>
      <w:r w:rsidRPr="00EA65D4">
        <w:rPr>
          <w:rFonts w:ascii="Times New Roman" w:hAnsi="Times New Roman" w:cs="Times New Roman"/>
          <w:sz w:val="28"/>
          <w:szCs w:val="28"/>
        </w:rPr>
        <w:t>хочется осветить нововведения, областным законом Ленинградской области от 08.06.2020</w:t>
      </w:r>
      <w:r w:rsidRPr="00B0675A">
        <w:rPr>
          <w:rFonts w:ascii="Times New Roman" w:hAnsi="Times New Roman" w:cs="Times New Roman"/>
          <w:sz w:val="28"/>
          <w:szCs w:val="28"/>
        </w:rPr>
        <w:t xml:space="preserve"> № 62-оз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2.6 областного закона «Об административных правонарушениях» </w:t>
      </w:r>
      <w:r w:rsidRPr="00B0675A">
        <w:rPr>
          <w:rFonts w:ascii="Times New Roman" w:hAnsi="Times New Roman" w:cs="Times New Roman"/>
          <w:sz w:val="28"/>
          <w:szCs w:val="28"/>
        </w:rPr>
        <w:t>внесены изменения в областной закон</w:t>
      </w:r>
      <w:r>
        <w:rPr>
          <w:rFonts w:ascii="Times New Roman" w:hAnsi="Times New Roman" w:cs="Times New Roman"/>
          <w:sz w:val="28"/>
          <w:szCs w:val="28"/>
        </w:rPr>
        <w:t xml:space="preserve"> от 02.06.2003 №</w:t>
      </w:r>
      <w:r w:rsidRPr="00B0675A">
        <w:rPr>
          <w:rFonts w:ascii="Times New Roman" w:hAnsi="Times New Roman" w:cs="Times New Roman"/>
          <w:sz w:val="28"/>
          <w:szCs w:val="28"/>
        </w:rPr>
        <w:t xml:space="preserve"> 47-оз</w:t>
      </w:r>
      <w:r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  <w:r w:rsidRPr="00B0675A">
        <w:rPr>
          <w:rFonts w:ascii="Times New Roman" w:hAnsi="Times New Roman" w:cs="Times New Roman"/>
          <w:sz w:val="28"/>
          <w:szCs w:val="28"/>
        </w:rPr>
        <w:t>, которые устанавливают впервые на территории Ленинградской области так называемый «тихий час». При производстве ремонтных, строительных и иных хозяйственных работ, влекущих нарушение тишины и покоя, с 13 до 15 часов в любой день в настоящее время предусмотрена административная ответственность.</w:t>
      </w:r>
      <w:r w:rsidRPr="0007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11" w:rsidRPr="00117273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вопросов при строительстве традиционно является обеспечение пожарной безопасности объектов капитального строительства. Уже долгое время одной из основных проблем в данной отрасли строительства является противопожарное водоснабжение. Излишне повторять, что для ликвидации пожаров водоснабжение - одно из главных условий, а нарушения требований, установленных к организации противопожарного водоснабжения, могут повлечь катастрофические последствия. </w:t>
      </w:r>
    </w:p>
    <w:p w:rsidR="00C67E11" w:rsidRPr="00117273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27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городские и сельские поселения на территории Ленинградской области располагают инженерной инфраструктурой, построенной в </w:t>
      </w:r>
      <w:r w:rsidRPr="00EA65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советский период времени. </w:t>
      </w:r>
      <w:r w:rsidRPr="0011727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изношенность и неудовлетворительное состояние существующих систем водоснабжения населенных пунктов, монтаж которых выполнялся 30 и более лет назад,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могут соответствовать</w:t>
      </w:r>
      <w:r w:rsidRPr="0011727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17273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обеспечению пожарной безопасности при строительстве объектов капитального строительства и их дальнейшей эксплуатации. К сожалению, данные системы зачастую находятся в таком состоянии, что при строительстве новых объектов капитального строительства не могут обеспечить надежное противопожарное водоснабжение, требуемое современными нормативными документами. В качестве источников водоснабжения в таких системах предусматривались водонапорные башни, резервуары небольшого объема, а нередко - непосредственно подземные скважины. Существующие сети предусматривались малых диаметров и со значительными по протяженности тупиковыми участками. Эти источники не в состоянии обеспечить современные требования к противопожарному водоснабжению вновь строящихся объектов, как по наличию необходимого запаса воды, так и по режиму водоснабжения.</w:t>
      </w:r>
    </w:p>
    <w:p w:rsidR="00C67E11" w:rsidRPr="00117273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законодательство требует обеспечения систем противопожарного водоснабжения бесперебойной и надежной подачей воды, для </w:t>
      </w:r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чего установлены как технические, так и правовые требования. К сожалению, часто встречаются попытки сетевых организаций нарушить требования безопасности или внести заведомо недостоверные требования в документы о подключении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(техническом присоединении) к системам водоснабжения</w:t>
      </w:r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E11" w:rsidRPr="00117273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Евразийской экономической комиссии от 26.09.2017 № 125 «О переходных положениях технического регламента Евразийского экономического союза «О требованиях к средствам обеспечения пожарной безопасности и пожаротушения» (</w:t>
      </w:r>
      <w:proofErr w:type="gramStart"/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 043/2017) 01.07.2021 года закончился период действия сертификатов соответствия и деклараций соответствия на средства обеспечения пожарной безопасности полученные до 01.01.2020 года.</w:t>
      </w:r>
    </w:p>
    <w:p w:rsidR="00C67E11" w:rsidRPr="00117273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(огнезащитная обработка, монтаж систем автоматической противопожарной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огнестойкие воздуховоды, противопожарные двери и люки</w:t>
      </w:r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объектах капитального строительства встречается продукция, не имеющая сертификатов соответствия (деклараций соответствия) требованиям технического регламента Евразийского экономического союза «О требованиях к средствам обеспечения пожарной безопасности и пожаротушения» (</w:t>
      </w:r>
      <w:proofErr w:type="gramStart"/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 043/2017).</w:t>
      </w:r>
    </w:p>
    <w:p w:rsidR="00C67E11" w:rsidRPr="00B204FD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proofErr w:type="gramStart"/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из важных проблем, с которой столкнулся комитет, заключается в том, что после ввода в эксплуатацию жилого многоквартирного дома собственники встроенных помещений меняют их функциональное назначение и эксплуатируют по назначению, не предусмотренному  проектной документацией, при этом вносятся изменения в объемно-планировочные решения, пути эвакуации, системы противопожарной защиты (вплоть до их полного демонтажа).</w:t>
      </w:r>
      <w:proofErr w:type="gramEnd"/>
      <w:r w:rsidRPr="0011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имеются случаи эксплуатации помещений, предусмотренных под автостоянки и детские дошкольные учреждения, с размещением в них магазинов продовольственных и непродовольственных товаров. </w:t>
      </w:r>
    </w:p>
    <w:p w:rsidR="00C67E11" w:rsidRPr="0018265A" w:rsidRDefault="00C67E11" w:rsidP="00C67E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265A">
        <w:rPr>
          <w:rFonts w:ascii="Times New Roman" w:hAnsi="Times New Roman"/>
          <w:sz w:val="28"/>
          <w:szCs w:val="28"/>
        </w:rPr>
        <w:t>Сектором экологического и санитарно-эпидемиологического надзора департамента государственного строительного надзора комитета государственного строительного надзора и государственной экспертизы Ленинградской области в рамках государственного строительного надзора осуществляется государственный санитарно-эпидемиологический надзор и государственный экологический надзор.</w:t>
      </w:r>
    </w:p>
    <w:p w:rsidR="00C67E11" w:rsidRPr="0018265A" w:rsidRDefault="00C67E11" w:rsidP="00C67E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265A">
        <w:rPr>
          <w:rFonts w:ascii="Times New Roman" w:hAnsi="Times New Roman"/>
          <w:sz w:val="28"/>
          <w:szCs w:val="28"/>
        </w:rPr>
        <w:t>Предметом государственного строительного надзора в отношении объектов капитального строительства является соблюдение соответствия выполняемых работ и применяемых строительных материалов и изделий в процессе строительства, реконструкции объекта капитального строительства проектной документации.</w:t>
      </w:r>
    </w:p>
    <w:p w:rsidR="00C67E11" w:rsidRPr="0018265A" w:rsidRDefault="00C67E11" w:rsidP="00C67E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265A">
        <w:rPr>
          <w:rFonts w:ascii="Times New Roman" w:hAnsi="Times New Roman"/>
          <w:sz w:val="28"/>
          <w:szCs w:val="28"/>
        </w:rPr>
        <w:t xml:space="preserve">Проектная документация </w:t>
      </w:r>
      <w:r>
        <w:rPr>
          <w:rFonts w:ascii="Times New Roman" w:hAnsi="Times New Roman"/>
          <w:sz w:val="28"/>
          <w:szCs w:val="28"/>
        </w:rPr>
        <w:t xml:space="preserve">должна быть </w:t>
      </w:r>
      <w:r w:rsidRPr="0018265A">
        <w:rPr>
          <w:rFonts w:ascii="Times New Roman" w:hAnsi="Times New Roman"/>
          <w:sz w:val="28"/>
          <w:szCs w:val="28"/>
        </w:rPr>
        <w:t>разработана в соответствии с санитарно-эпидемиологическими требованиями и требованиям в области охраны окружающей среды.</w:t>
      </w:r>
    </w:p>
    <w:p w:rsidR="00C67E11" w:rsidRDefault="00C67E11" w:rsidP="00C67E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8265A">
        <w:rPr>
          <w:rFonts w:ascii="Times New Roman" w:hAnsi="Times New Roman"/>
          <w:sz w:val="28"/>
          <w:szCs w:val="28"/>
        </w:rPr>
        <w:t xml:space="preserve"> 2022 году при осуществлении государственного санитарно-эпидемиологического надзора и государственного экологического надзора наиболее часто выявля</w:t>
      </w:r>
      <w:r>
        <w:rPr>
          <w:rFonts w:ascii="Times New Roman" w:hAnsi="Times New Roman"/>
          <w:sz w:val="28"/>
          <w:szCs w:val="28"/>
        </w:rPr>
        <w:t>лись</w:t>
      </w:r>
      <w:r w:rsidRPr="0018265A">
        <w:rPr>
          <w:rFonts w:ascii="Times New Roman" w:hAnsi="Times New Roman"/>
          <w:sz w:val="28"/>
          <w:szCs w:val="28"/>
        </w:rPr>
        <w:t xml:space="preserve"> нарушения в области обращения с отходами.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C67E11" w:rsidRPr="0018265A" w:rsidRDefault="00C67E11" w:rsidP="00C67E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65A">
        <w:rPr>
          <w:rFonts w:ascii="Times New Roman" w:hAnsi="Times New Roman"/>
          <w:sz w:val="28"/>
          <w:szCs w:val="28"/>
        </w:rPr>
        <w:t xml:space="preserve">Так, на </w:t>
      </w:r>
      <w:r>
        <w:rPr>
          <w:rFonts w:ascii="Times New Roman" w:hAnsi="Times New Roman"/>
          <w:sz w:val="28"/>
          <w:szCs w:val="28"/>
        </w:rPr>
        <w:t xml:space="preserve">строительных </w:t>
      </w:r>
      <w:r w:rsidRPr="0018265A">
        <w:rPr>
          <w:rFonts w:ascii="Times New Roman" w:hAnsi="Times New Roman"/>
          <w:sz w:val="28"/>
          <w:szCs w:val="28"/>
        </w:rPr>
        <w:t xml:space="preserve">объектах </w:t>
      </w:r>
      <w:r>
        <w:rPr>
          <w:rFonts w:ascii="Times New Roman" w:hAnsi="Times New Roman"/>
          <w:sz w:val="28"/>
          <w:szCs w:val="28"/>
        </w:rPr>
        <w:t xml:space="preserve">зачастую </w:t>
      </w:r>
      <w:r w:rsidRPr="0018265A">
        <w:rPr>
          <w:rFonts w:ascii="Times New Roman" w:hAnsi="Times New Roman"/>
          <w:sz w:val="28"/>
          <w:szCs w:val="28"/>
        </w:rPr>
        <w:t>не пред</w:t>
      </w:r>
      <w:r>
        <w:rPr>
          <w:rFonts w:ascii="Times New Roman" w:hAnsi="Times New Roman"/>
          <w:sz w:val="28"/>
          <w:szCs w:val="28"/>
        </w:rPr>
        <w:t>о</w:t>
      </w:r>
      <w:r w:rsidRPr="0018265A">
        <w:rPr>
          <w:rFonts w:ascii="Times New Roman" w:hAnsi="Times New Roman"/>
          <w:sz w:val="28"/>
          <w:szCs w:val="28"/>
        </w:rPr>
        <w:t xml:space="preserve">ставляются документы, подтверждающие вывоз (транспортирование) и утилизацию/размещение отходов производства и потребления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92288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8265A">
        <w:rPr>
          <w:rFonts w:ascii="Times New Roman" w:hAnsi="Times New Roman"/>
          <w:sz w:val="28"/>
          <w:szCs w:val="28"/>
        </w:rPr>
        <w:t xml:space="preserve"> класса опасности, образовавшихся в ходе строительства, отсутствуют материалы подтверждения отнесения к конкретному </w:t>
      </w:r>
      <w:r w:rsidRPr="0018265A">
        <w:rPr>
          <w:rFonts w:ascii="Times New Roman" w:hAnsi="Times New Roman"/>
          <w:sz w:val="28"/>
          <w:szCs w:val="28"/>
        </w:rPr>
        <w:lastRenderedPageBreak/>
        <w:t>классу опасности отходов I - V классов опасности, образующихся в ходе строительства, не ведётся учёт образовавшихся, утилизированных, обезвреженных, переданных другим лицам или полученных от других лиц, а также размещенных</w:t>
      </w:r>
      <w:proofErr w:type="gramEnd"/>
      <w:r w:rsidRPr="0018265A">
        <w:rPr>
          <w:rFonts w:ascii="Times New Roman" w:hAnsi="Times New Roman"/>
          <w:sz w:val="28"/>
          <w:szCs w:val="28"/>
        </w:rPr>
        <w:t xml:space="preserve"> отходов, образовавшихся в ходе строительства, не представляется отчётность в различные органы (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8265A">
        <w:rPr>
          <w:rFonts w:ascii="Times New Roman" w:hAnsi="Times New Roman"/>
          <w:sz w:val="28"/>
          <w:szCs w:val="28"/>
        </w:rPr>
        <w:t>комит</w:t>
      </w:r>
      <w:r>
        <w:rPr>
          <w:rFonts w:ascii="Times New Roman" w:hAnsi="Times New Roman"/>
          <w:sz w:val="28"/>
          <w:szCs w:val="28"/>
        </w:rPr>
        <w:t>ет экологического надзора Ленин</w:t>
      </w:r>
      <w:r w:rsidRPr="0018265A">
        <w:rPr>
          <w:rFonts w:ascii="Times New Roman" w:hAnsi="Times New Roman"/>
          <w:sz w:val="28"/>
          <w:szCs w:val="28"/>
        </w:rPr>
        <w:t>градской области, комитет Ленинградской области по обращению с отходами).</w:t>
      </w:r>
    </w:p>
    <w:p w:rsidR="00C67E11" w:rsidRPr="0018265A" w:rsidRDefault="00C67E11" w:rsidP="00C67E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11E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18265A">
        <w:rPr>
          <w:rFonts w:ascii="Times New Roman" w:hAnsi="Times New Roman"/>
          <w:sz w:val="28"/>
          <w:szCs w:val="28"/>
        </w:rPr>
        <w:t>е должным образом осуществляется производственный экологический мониторинг на строящихся объектах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8265A">
        <w:rPr>
          <w:rFonts w:ascii="Times New Roman" w:hAnsi="Times New Roman"/>
          <w:sz w:val="28"/>
          <w:szCs w:val="28"/>
        </w:rPr>
        <w:t xml:space="preserve"> не в полном объёме производится плата за негативное воздействие на окружающую среду.</w:t>
      </w:r>
    </w:p>
    <w:p w:rsidR="00C67E11" w:rsidRDefault="00C67E11" w:rsidP="00C67E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265A">
        <w:rPr>
          <w:rFonts w:ascii="Times New Roman" w:hAnsi="Times New Roman"/>
          <w:sz w:val="28"/>
          <w:szCs w:val="28"/>
        </w:rPr>
        <w:t>Общей проблемой является организация сбора, накопления и вывоза отходов, в результате чего фактически по всей территории строительной площадки отходы производства и потребления, образовавшиеся в ходе строительства, накапливаются рас</w:t>
      </w:r>
      <w:r>
        <w:rPr>
          <w:rFonts w:ascii="Times New Roman" w:hAnsi="Times New Roman"/>
          <w:sz w:val="28"/>
          <w:szCs w:val="28"/>
        </w:rPr>
        <w:t xml:space="preserve">средоточено и навалом на грунт. </w:t>
      </w:r>
    </w:p>
    <w:p w:rsidR="00C67E11" w:rsidRPr="0018265A" w:rsidRDefault="00C67E11" w:rsidP="00C67E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265A">
        <w:rPr>
          <w:rFonts w:ascii="Times New Roman" w:hAnsi="Times New Roman"/>
          <w:sz w:val="28"/>
          <w:szCs w:val="28"/>
        </w:rPr>
        <w:t>В 2022 году продолжается проведение строительных работ с  повышенным уровнем шума на селитебной территории и в жилых помещениях прилегающей существующей жилой застройки.</w:t>
      </w:r>
    </w:p>
    <w:p w:rsidR="00C67E11" w:rsidRPr="005B4B37" w:rsidRDefault="00C67E11" w:rsidP="00C67E11">
      <w:pPr>
        <w:pStyle w:val="FORMATTEXT"/>
        <w:ind w:firstLine="709"/>
        <w:jc w:val="both"/>
        <w:rPr>
          <w:b/>
          <w:bCs/>
          <w:color w:val="000001"/>
          <w:sz w:val="28"/>
          <w:szCs w:val="28"/>
        </w:rPr>
      </w:pPr>
      <w:r w:rsidRPr="00A35F72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государственного санитарно-эпидемиологического надзора на территории Ленинградской области также характерны выявленные нарушения при организации строительного процесса</w:t>
      </w:r>
      <w:r w:rsidRPr="00A35F72">
        <w:rPr>
          <w:sz w:val="28"/>
          <w:szCs w:val="28"/>
        </w:rPr>
        <w:t>:</w:t>
      </w:r>
    </w:p>
    <w:p w:rsidR="00C67E11" w:rsidRPr="00A35F72" w:rsidRDefault="00C67E11" w:rsidP="00C67E11">
      <w:pPr>
        <w:pStyle w:val="FORMATTEXT"/>
        <w:ind w:firstLine="709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>
        <w:rPr>
          <w:sz w:val="28"/>
          <w:szCs w:val="28"/>
        </w:rPr>
        <w:t>с</w:t>
      </w:r>
      <w:r w:rsidRPr="00A35F72">
        <w:rPr>
          <w:sz w:val="28"/>
          <w:szCs w:val="28"/>
        </w:rPr>
        <w:t xml:space="preserve">оответствие санитарным требованиям </w:t>
      </w:r>
      <w:r>
        <w:rPr>
          <w:sz w:val="28"/>
          <w:szCs w:val="28"/>
        </w:rPr>
        <w:t>устройства и содержания объекта;</w:t>
      </w:r>
    </w:p>
    <w:p w:rsidR="00C67E11" w:rsidRPr="00A35F72" w:rsidRDefault="00C67E11" w:rsidP="00C67E11">
      <w:pPr>
        <w:pStyle w:val="FORMATTEXT"/>
        <w:ind w:firstLine="709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>
        <w:rPr>
          <w:sz w:val="28"/>
          <w:szCs w:val="28"/>
        </w:rPr>
        <w:t>с</w:t>
      </w:r>
      <w:r w:rsidRPr="00A35F72">
        <w:rPr>
          <w:sz w:val="28"/>
          <w:szCs w:val="28"/>
        </w:rPr>
        <w:t>оответствие технологических процессов и оборудования нормативно-техническим документам по обеспечению оптимальных условий труда на каждом рабоч</w:t>
      </w:r>
      <w:r>
        <w:rPr>
          <w:sz w:val="28"/>
          <w:szCs w:val="28"/>
        </w:rPr>
        <w:t>ем месте;</w:t>
      </w:r>
    </w:p>
    <w:p w:rsidR="00C67E11" w:rsidRPr="00A35F72" w:rsidRDefault="00C67E11" w:rsidP="00C67E11">
      <w:pPr>
        <w:pStyle w:val="FORMATTEXT"/>
        <w:ind w:firstLine="709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>
        <w:rPr>
          <w:sz w:val="28"/>
          <w:szCs w:val="28"/>
        </w:rPr>
        <w:t>с</w:t>
      </w:r>
      <w:r w:rsidRPr="00A35F72">
        <w:rPr>
          <w:sz w:val="28"/>
          <w:szCs w:val="28"/>
        </w:rPr>
        <w:t xml:space="preserve">облюдение санитарных правил содержания помещений и территории объектов, условий хранения, применения, транспортировки веществ I-II </w:t>
      </w:r>
      <w:r>
        <w:rPr>
          <w:sz w:val="28"/>
          <w:szCs w:val="28"/>
        </w:rPr>
        <w:t>классов опасности, ядохимикатов;</w:t>
      </w:r>
    </w:p>
    <w:p w:rsidR="00C67E11" w:rsidRPr="00A35F72" w:rsidRDefault="00C67E11" w:rsidP="00C67E11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>
        <w:rPr>
          <w:sz w:val="28"/>
          <w:szCs w:val="28"/>
        </w:rPr>
        <w:t>с</w:t>
      </w:r>
      <w:r w:rsidRPr="00A35F72">
        <w:rPr>
          <w:sz w:val="28"/>
          <w:szCs w:val="28"/>
        </w:rPr>
        <w:t>оответствие параметров физических, химических, физиологических и других факторов производственной среды оптимальным или допустимым нор</w:t>
      </w:r>
      <w:r>
        <w:rPr>
          <w:sz w:val="28"/>
          <w:szCs w:val="28"/>
        </w:rPr>
        <w:t>мативам на каждом рабочем месте и прочее;</w:t>
      </w:r>
    </w:p>
    <w:p w:rsidR="00C67E11" w:rsidRDefault="00C67E11" w:rsidP="00C67E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A2198">
        <w:rPr>
          <w:rFonts w:ascii="Times New Roman" w:hAnsi="Times New Roman"/>
          <w:sz w:val="28"/>
          <w:szCs w:val="28"/>
        </w:rPr>
        <w:t xml:space="preserve">Актуальным вопросом остаётся недопущение использования строительных материалов, не соответствующих гигиеническим требованиям, зачастую </w:t>
      </w:r>
      <w:r>
        <w:rPr>
          <w:rFonts w:ascii="Times New Roman" w:hAnsi="Times New Roman"/>
          <w:sz w:val="28"/>
          <w:szCs w:val="28"/>
        </w:rPr>
        <w:t xml:space="preserve">в ходе проверки </w:t>
      </w:r>
      <w:r w:rsidRPr="005A2198">
        <w:rPr>
          <w:rFonts w:ascii="Times New Roman" w:hAnsi="Times New Roman"/>
          <w:sz w:val="28"/>
          <w:szCs w:val="28"/>
        </w:rPr>
        <w:t>лицо, осуществляющее строительство, представляет неполный комплект документов.</w:t>
      </w:r>
    </w:p>
    <w:p w:rsidR="00C67E11" w:rsidRPr="00795887" w:rsidRDefault="00C67E11" w:rsidP="00C6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Правительство Российской Федерации продолжает работу по переходу к усовершенствованию, упрощению  и обновлению  законодательства в области охраны окружающей среды и санитарно-эпидемиологической безопасности. </w:t>
      </w:r>
    </w:p>
    <w:bookmarkEnd w:id="0"/>
    <w:p w:rsidR="00C67E11" w:rsidRPr="00D64494" w:rsidRDefault="00C67E11" w:rsidP="00C6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94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31.07.2020 № 247 «Об обязательных требованиях в Российской Федерации» 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94">
        <w:rPr>
          <w:rFonts w:ascii="Times New Roman" w:hAnsi="Times New Roman" w:cs="Times New Roman"/>
          <w:sz w:val="28"/>
          <w:szCs w:val="28"/>
        </w:rPr>
        <w:t>Российской Федерации отменен ряд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64494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4494">
        <w:rPr>
          <w:rFonts w:ascii="Times New Roman" w:hAnsi="Times New Roman" w:cs="Times New Roman"/>
          <w:sz w:val="28"/>
          <w:szCs w:val="28"/>
        </w:rPr>
        <w:t xml:space="preserve">содержащих обязательные требования по вопросам экологии и санитарии, соблюдение которых оценивается при осуществлении государственного надзора. </w:t>
      </w:r>
    </w:p>
    <w:p w:rsidR="00C67E11" w:rsidRPr="00D64494" w:rsidRDefault="00C67E11" w:rsidP="00C6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94">
        <w:rPr>
          <w:rFonts w:ascii="Times New Roman" w:hAnsi="Times New Roman" w:cs="Times New Roman"/>
          <w:sz w:val="28"/>
          <w:szCs w:val="28"/>
        </w:rPr>
        <w:t xml:space="preserve">Частично документы в сфере охраны окружающей среды в конце 2020 года выпущены в новой редакции, </w:t>
      </w:r>
      <w:r>
        <w:rPr>
          <w:rFonts w:ascii="Times New Roman" w:hAnsi="Times New Roman" w:cs="Times New Roman"/>
          <w:sz w:val="28"/>
          <w:szCs w:val="28"/>
        </w:rPr>
        <w:t>значительная часть</w:t>
      </w:r>
      <w:r w:rsidRPr="00D64494">
        <w:rPr>
          <w:rFonts w:ascii="Times New Roman" w:hAnsi="Times New Roman" w:cs="Times New Roman"/>
          <w:sz w:val="28"/>
          <w:szCs w:val="28"/>
        </w:rPr>
        <w:t xml:space="preserve"> ранее принятых документов продолжает действовать. Из нового в законодательстве об охране окружающей </w:t>
      </w:r>
      <w:r w:rsidRPr="00D64494">
        <w:rPr>
          <w:rFonts w:ascii="Times New Roman" w:hAnsi="Times New Roman" w:cs="Times New Roman"/>
          <w:sz w:val="28"/>
          <w:szCs w:val="28"/>
        </w:rPr>
        <w:lastRenderedPageBreak/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введено категорирование</w:t>
      </w:r>
      <w:r w:rsidRPr="00D6449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 капитального строительства</w:t>
      </w:r>
      <w:r w:rsidRPr="00D64494">
        <w:rPr>
          <w:rFonts w:ascii="Times New Roman" w:hAnsi="Times New Roman" w:cs="Times New Roman"/>
          <w:sz w:val="28"/>
          <w:szCs w:val="28"/>
        </w:rPr>
        <w:t xml:space="preserve">. Если хозяйственная или иная деятельность по строительству объектов капитального строительства продолжается более 6 месяцев, то объект относится к </w:t>
      </w:r>
      <w:r w:rsidRPr="00D644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4494">
        <w:rPr>
          <w:rFonts w:ascii="Times New Roman" w:hAnsi="Times New Roman" w:cs="Times New Roman"/>
          <w:sz w:val="28"/>
          <w:szCs w:val="28"/>
        </w:rPr>
        <w:t xml:space="preserve"> категории объектов, оказывающих негативное воздействие на окружающую среду. Так же отменен ряд санитарных норм, которые устанавливали требования к проектированию и строительству таких объектов капитального строительства как школы, детские сады и т.д. </w:t>
      </w:r>
    </w:p>
    <w:p w:rsidR="00C67E11" w:rsidRDefault="00C67E11" w:rsidP="00C67E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хотелось бы сказать</w:t>
      </w:r>
      <w:r w:rsidRPr="00D64494">
        <w:rPr>
          <w:rFonts w:ascii="Times New Roman" w:hAnsi="Times New Roman"/>
          <w:sz w:val="28"/>
          <w:szCs w:val="28"/>
        </w:rPr>
        <w:t xml:space="preserve"> о Техническом регламенте Евразийского экономического союза "О безопасности оборудования для детских игровых площадок" </w:t>
      </w:r>
      <w:proofErr w:type="gramStart"/>
      <w:r w:rsidRPr="00D64494">
        <w:rPr>
          <w:rFonts w:ascii="Times New Roman" w:hAnsi="Times New Roman"/>
          <w:sz w:val="28"/>
          <w:szCs w:val="28"/>
        </w:rPr>
        <w:t>ТР</w:t>
      </w:r>
      <w:proofErr w:type="gramEnd"/>
      <w:r w:rsidRPr="00D64494">
        <w:rPr>
          <w:rFonts w:ascii="Times New Roman" w:hAnsi="Times New Roman"/>
          <w:sz w:val="28"/>
          <w:szCs w:val="28"/>
        </w:rPr>
        <w:t xml:space="preserve"> ЕАЭС 042/2017</w:t>
      </w:r>
      <w:r>
        <w:rPr>
          <w:rFonts w:ascii="Times New Roman" w:hAnsi="Times New Roman"/>
          <w:sz w:val="28"/>
          <w:szCs w:val="28"/>
        </w:rPr>
        <w:t>, который вступил в силу</w:t>
      </w:r>
      <w:r w:rsidRPr="00D64494">
        <w:rPr>
          <w:rFonts w:ascii="Times New Roman" w:hAnsi="Times New Roman"/>
          <w:sz w:val="28"/>
          <w:szCs w:val="28"/>
        </w:rPr>
        <w:t xml:space="preserve"> 17.11.2018, но до сих пор продолжается переходный период, когда оборудование для детских площадок можно  выпускать и по старым требованиям. Большая часть строительных объектов Ленинградской области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4494">
        <w:rPr>
          <w:rFonts w:ascii="Times New Roman" w:hAnsi="Times New Roman"/>
          <w:sz w:val="28"/>
          <w:szCs w:val="28"/>
        </w:rPr>
        <w:t xml:space="preserve"> многоквартирные жилые дома</w:t>
      </w:r>
      <w:r>
        <w:rPr>
          <w:rFonts w:ascii="Times New Roman" w:hAnsi="Times New Roman"/>
          <w:sz w:val="28"/>
          <w:szCs w:val="28"/>
        </w:rPr>
        <w:t>,</w:t>
      </w:r>
      <w:r w:rsidRPr="00D64494">
        <w:rPr>
          <w:rFonts w:ascii="Times New Roman" w:hAnsi="Times New Roman"/>
          <w:sz w:val="28"/>
          <w:szCs w:val="28"/>
        </w:rPr>
        <w:t xml:space="preserve"> и требования данного технического регламента очень важны.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 Если раньше сертификаты были добровольными, то теперь сертификаты становятся обязательными. На сайте </w:t>
      </w:r>
      <w:r w:rsidRPr="00A36FF4">
        <w:rPr>
          <w:rFonts w:ascii="Times New Roman" w:hAnsi="Times New Roman"/>
          <w:sz w:val="28"/>
          <w:szCs w:val="28"/>
        </w:rPr>
        <w:t xml:space="preserve">Федеральной службы по аккредитации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Росаккредитация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64494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змещен соответствующий реестр, по</w:t>
      </w:r>
      <w:r w:rsidRPr="00D64494">
        <w:rPr>
          <w:rFonts w:ascii="Times New Roman" w:hAnsi="Times New Roman"/>
          <w:sz w:val="28"/>
          <w:szCs w:val="28"/>
        </w:rPr>
        <w:t xml:space="preserve"> котором</w:t>
      </w:r>
      <w:r>
        <w:rPr>
          <w:rFonts w:ascii="Times New Roman" w:hAnsi="Times New Roman"/>
          <w:sz w:val="28"/>
          <w:szCs w:val="28"/>
        </w:rPr>
        <w:t>у</w:t>
      </w:r>
      <w:r w:rsidRPr="00D64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</w:t>
      </w:r>
      <w:r w:rsidRPr="00D64494">
        <w:rPr>
          <w:rFonts w:ascii="Times New Roman" w:hAnsi="Times New Roman"/>
          <w:sz w:val="28"/>
          <w:szCs w:val="28"/>
        </w:rPr>
        <w:t>можно проверить</w:t>
      </w:r>
      <w:r>
        <w:rPr>
          <w:rFonts w:ascii="Times New Roman" w:hAnsi="Times New Roman"/>
          <w:sz w:val="28"/>
          <w:szCs w:val="28"/>
        </w:rPr>
        <w:t xml:space="preserve"> получение</w:t>
      </w:r>
      <w:r w:rsidRPr="00D64494">
        <w:rPr>
          <w:rFonts w:ascii="Times New Roman" w:hAnsi="Times New Roman"/>
          <w:sz w:val="28"/>
          <w:szCs w:val="28"/>
        </w:rPr>
        <w:t xml:space="preserve"> производител</w:t>
      </w:r>
      <w:r>
        <w:rPr>
          <w:rFonts w:ascii="Times New Roman" w:hAnsi="Times New Roman"/>
          <w:sz w:val="28"/>
          <w:szCs w:val="28"/>
        </w:rPr>
        <w:t>ем сертификата</w:t>
      </w:r>
      <w:r w:rsidRPr="00D644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494">
        <w:rPr>
          <w:rFonts w:ascii="Times New Roman" w:hAnsi="Times New Roman"/>
          <w:sz w:val="28"/>
          <w:szCs w:val="28"/>
        </w:rPr>
        <w:t>Ежегодно на детских площадках дети получают травмы</w:t>
      </w:r>
      <w:r>
        <w:rPr>
          <w:rFonts w:ascii="Times New Roman" w:hAnsi="Times New Roman"/>
          <w:sz w:val="28"/>
          <w:szCs w:val="28"/>
        </w:rPr>
        <w:t>. П</w:t>
      </w:r>
      <w:r w:rsidRPr="00D64494">
        <w:rPr>
          <w:rFonts w:ascii="Times New Roman" w:hAnsi="Times New Roman"/>
          <w:sz w:val="28"/>
          <w:szCs w:val="28"/>
        </w:rPr>
        <w:t xml:space="preserve">ри добросовестном выполнении застройщиками требований технического регламента, </w:t>
      </w:r>
      <w:r>
        <w:rPr>
          <w:rFonts w:ascii="Times New Roman" w:hAnsi="Times New Roman"/>
          <w:sz w:val="28"/>
          <w:szCs w:val="28"/>
        </w:rPr>
        <w:t xml:space="preserve">количество травм </w:t>
      </w:r>
      <w:r w:rsidRPr="00D64494">
        <w:rPr>
          <w:rFonts w:ascii="Times New Roman" w:hAnsi="Times New Roman"/>
          <w:sz w:val="28"/>
          <w:szCs w:val="28"/>
        </w:rPr>
        <w:t xml:space="preserve">у детей </w:t>
      </w:r>
      <w:r>
        <w:rPr>
          <w:rFonts w:ascii="Times New Roman" w:hAnsi="Times New Roman"/>
          <w:sz w:val="28"/>
          <w:szCs w:val="28"/>
        </w:rPr>
        <w:t xml:space="preserve">при пользовании игровым оборудованием значительно снизится, а значит, </w:t>
      </w:r>
      <w:r w:rsidRPr="00D64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уменьшится</w:t>
      </w:r>
      <w:r w:rsidRPr="00D64494">
        <w:rPr>
          <w:rFonts w:ascii="Times New Roman" w:hAnsi="Times New Roman"/>
          <w:sz w:val="28"/>
          <w:szCs w:val="28"/>
        </w:rPr>
        <w:t xml:space="preserve"> количество </w:t>
      </w:r>
      <w:r>
        <w:rPr>
          <w:rFonts w:ascii="Times New Roman" w:hAnsi="Times New Roman"/>
          <w:sz w:val="28"/>
          <w:szCs w:val="28"/>
        </w:rPr>
        <w:t>несчастных случаев. Так, например,</w:t>
      </w:r>
      <w:r w:rsidRPr="00D64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494">
        <w:rPr>
          <w:rFonts w:ascii="Times New Roman" w:hAnsi="Times New Roman"/>
          <w:sz w:val="28"/>
          <w:szCs w:val="28"/>
        </w:rPr>
        <w:t>ударопоглощающее</w:t>
      </w:r>
      <w:proofErr w:type="spellEnd"/>
      <w:r w:rsidRPr="00D64494">
        <w:rPr>
          <w:rFonts w:ascii="Times New Roman" w:hAnsi="Times New Roman"/>
          <w:sz w:val="28"/>
          <w:szCs w:val="28"/>
        </w:rPr>
        <w:t xml:space="preserve"> покрытие спасет от травм</w:t>
      </w:r>
      <w:r>
        <w:rPr>
          <w:rFonts w:ascii="Times New Roman" w:hAnsi="Times New Roman"/>
          <w:sz w:val="28"/>
          <w:szCs w:val="28"/>
        </w:rPr>
        <w:t xml:space="preserve"> и переломов</w:t>
      </w:r>
      <w:r w:rsidRPr="00D64494">
        <w:rPr>
          <w:rFonts w:ascii="Times New Roman" w:hAnsi="Times New Roman"/>
          <w:sz w:val="28"/>
          <w:szCs w:val="28"/>
        </w:rPr>
        <w:t>, в том числе от  нанесения тяжког</w:t>
      </w:r>
      <w:r>
        <w:rPr>
          <w:rFonts w:ascii="Times New Roman" w:hAnsi="Times New Roman"/>
          <w:sz w:val="28"/>
          <w:szCs w:val="28"/>
        </w:rPr>
        <w:t xml:space="preserve">о вреда здоровью при падениях и, </w:t>
      </w:r>
      <w:r w:rsidRPr="00D64494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>,</w:t>
      </w:r>
      <w:r w:rsidRPr="00D64494">
        <w:rPr>
          <w:rFonts w:ascii="Times New Roman" w:hAnsi="Times New Roman"/>
          <w:sz w:val="28"/>
          <w:szCs w:val="28"/>
        </w:rPr>
        <w:t xml:space="preserve"> гибели ребенка. </w:t>
      </w:r>
    </w:p>
    <w:p w:rsidR="00C67E11" w:rsidRPr="00D64494" w:rsidRDefault="00C67E11" w:rsidP="00C67E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64494">
        <w:rPr>
          <w:rFonts w:ascii="Times New Roman" w:hAnsi="Times New Roman"/>
          <w:sz w:val="28"/>
          <w:szCs w:val="28"/>
        </w:rPr>
        <w:t>обросовестные застройщики монтируют площадки и приобретают игровое и спортивное оборудование для детских площадок в соответствии с требованиями, установленными Техническим регламентом</w:t>
      </w:r>
      <w:r>
        <w:rPr>
          <w:rFonts w:ascii="Times New Roman" w:hAnsi="Times New Roman"/>
          <w:sz w:val="28"/>
          <w:szCs w:val="28"/>
        </w:rPr>
        <w:t>;</w:t>
      </w:r>
      <w:r w:rsidRPr="00D64494">
        <w:rPr>
          <w:rFonts w:ascii="Times New Roman" w:hAnsi="Times New Roman"/>
          <w:sz w:val="28"/>
          <w:szCs w:val="28"/>
        </w:rPr>
        <w:t xml:space="preserve"> с застройщиками, игнорирующими требования  Технического регламента Евразийского экономического союза "О безопасности оборудования для детских игровых площадок" </w:t>
      </w:r>
      <w:proofErr w:type="gramStart"/>
      <w:r w:rsidRPr="00D64494">
        <w:rPr>
          <w:rFonts w:ascii="Times New Roman" w:hAnsi="Times New Roman"/>
          <w:sz w:val="28"/>
          <w:szCs w:val="28"/>
        </w:rPr>
        <w:t>ТР</w:t>
      </w:r>
      <w:proofErr w:type="gramEnd"/>
      <w:r w:rsidRPr="00D64494">
        <w:rPr>
          <w:rFonts w:ascii="Times New Roman" w:hAnsi="Times New Roman"/>
          <w:sz w:val="28"/>
          <w:szCs w:val="28"/>
        </w:rPr>
        <w:t xml:space="preserve"> ЕАЭС 042/2017 специалистами комитета проводится системная работа в части </w:t>
      </w:r>
      <w:proofErr w:type="spellStart"/>
      <w:r>
        <w:rPr>
          <w:rFonts w:ascii="Times New Roman" w:hAnsi="Times New Roman"/>
          <w:sz w:val="28"/>
          <w:szCs w:val="28"/>
        </w:rPr>
        <w:t>обязания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4494">
        <w:rPr>
          <w:rFonts w:ascii="Times New Roman" w:hAnsi="Times New Roman"/>
          <w:sz w:val="28"/>
          <w:szCs w:val="28"/>
        </w:rPr>
        <w:t>соблюдения установленных требований.</w:t>
      </w:r>
    </w:p>
    <w:p w:rsidR="00C67E11" w:rsidRPr="00D64494" w:rsidRDefault="00C67E11" w:rsidP="00C6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494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D6449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работа по усилению</w:t>
      </w:r>
      <w:r w:rsidRPr="00D64494">
        <w:rPr>
          <w:rFonts w:ascii="Times New Roman" w:hAnsi="Times New Roman" w:cs="Times New Roman"/>
          <w:sz w:val="28"/>
          <w:szCs w:val="28"/>
        </w:rPr>
        <w:t xml:space="preserve"> надзора (контроля) за соблюдением обновленных требований законодательства застройщиками, техническими заказчиками, лицами, осуществляющими строительство, а также проведение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494">
        <w:rPr>
          <w:rFonts w:ascii="Times New Roman" w:hAnsi="Times New Roman" w:cs="Times New Roman"/>
          <w:sz w:val="28"/>
          <w:szCs w:val="28"/>
        </w:rPr>
        <w:t xml:space="preserve"> направленных на информирование, обобщение правоприменительной практики,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D64494">
        <w:rPr>
          <w:rFonts w:ascii="Times New Roman" w:hAnsi="Times New Roman" w:cs="Times New Roman"/>
          <w:sz w:val="28"/>
          <w:szCs w:val="28"/>
        </w:rPr>
        <w:t>мер стимулирования добросовестности, объявление предостережений, выдачу рекомендаций по соблюдению обязательных требований, осуществлению консультирования, профилактического сопровождения и иные мероприятия.</w:t>
      </w:r>
      <w:proofErr w:type="gramEnd"/>
    </w:p>
    <w:p w:rsidR="0037482B" w:rsidRDefault="0037482B">
      <w:bookmarkStart w:id="1" w:name="_GoBack"/>
      <w:bookmarkEnd w:id="1"/>
    </w:p>
    <w:sectPr w:rsidR="0037482B" w:rsidSect="0054438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11"/>
    <w:rsid w:val="0037482B"/>
    <w:rsid w:val="0054438A"/>
    <w:rsid w:val="00C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E11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7E11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FORMATTEXT">
    <w:name w:val=".FORMATTEXT"/>
    <w:uiPriority w:val="99"/>
    <w:rsid w:val="00C67E1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E11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7E11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FORMATTEXT">
    <w:name w:val=".FORMATTEXT"/>
    <w:uiPriority w:val="99"/>
    <w:rsid w:val="00C67E1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consultantplus://offline/ref=9F0EC34697822B8FF91CE20BD3F596E95E47F7BBF3C2C51EBE713E5D4076510FDF3761E4DF5EBBAB2E242B76EDF71EAF9C4BABBAB71179884Al6N" TargetMode="External"/><Relationship Id="rId18" Type="http://schemas.openxmlformats.org/officeDocument/2006/relationships/hyperlink" Target="consultantplus://offline/ref=E3743D715CE75C924E35EA43364D44EC438ED1F66E99AAD7D981B330023EEC0B0DB336EF53A37953C26E34CD6BE5D68A54D6202A63D2F584dAv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43D715CE75C924E35EA43364D44EC438ED5FA6F9DAAD7D981B330023EEC0B0DB336EF53A2785FC66E34CD6BE5D68A54D6202A63D2F584dAvFN" TargetMode="External"/><Relationship Id="rId7" Type="http://schemas.openxmlformats.org/officeDocument/2006/relationships/chart" Target="charts/chart3.xml"/><Relationship Id="rId12" Type="http://schemas.openxmlformats.org/officeDocument/2006/relationships/hyperlink" Target="consultantplus://offline/ref=F618661986856DE59A811C9C68EF01EDBC3D06D8B7C688B41861348FB24DB170CB71E70E1D6CA60398F5D2EAA06206A017264F31A415C16EBCf8O" TargetMode="External"/><Relationship Id="rId17" Type="http://schemas.openxmlformats.org/officeDocument/2006/relationships/hyperlink" Target="consultantplus://offline/ref=E3743D715CE75C924E35EA43364D44EC438ED1F66E99AAD7D981B330023EEC0B0DB336EF53A37959C46E34CD6BE5D68A54D6202A63D2F584dAvF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0EC34697822B8FF91CE20BD3F596E95E47F7BBF3C2C51EBE713E5D4076510FDF3761E4DF5FB1AF26242B76EDF71EAF9C4BABBAB71179884Al6N" TargetMode="External"/><Relationship Id="rId20" Type="http://schemas.openxmlformats.org/officeDocument/2006/relationships/hyperlink" Target="consultantplus://offline/ref=E3743D715CE75C924E35EA43364D44EC438ED1F66E99AAD7D981B330023EEC0B0DB336EF53A3785BC06E34CD6BE5D68A54D6202A63D2F584dAvFN" TargetMode="Externa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hyperlink" Target="consultantplus://offline/ref=F618661986856DE59A811C9C68EF01EDBC3D06D8B7C688B41861348FB24DB170CB71E70E1D6CA60399F5D2EAA06206A017264F31A415C16EBCf8O" TargetMode="Externa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hyperlink" Target="consultantplus://offline/ref=9F0EC34697822B8FF91CE20BD3F596E95E47F7BBF3C2C51EBE713E5D4076510FDF3761E4DF5EBBAF2C242B76EDF71EAF9C4BABBAB71179884Al6N" TargetMode="External"/><Relationship Id="rId23" Type="http://schemas.openxmlformats.org/officeDocument/2006/relationships/hyperlink" Target="consultantplus://offline/ref=E3743D715CE75C924E35EA43364D44EC438ED1F66E99AAD7D981B330023EEC0B0DB336EF53A37958C56E34CD6BE5D68A54D6202A63D2F584dAvFN" TargetMode="External"/><Relationship Id="rId10" Type="http://schemas.openxmlformats.org/officeDocument/2006/relationships/hyperlink" Target="consultantplus://offline/ref=F618661986856DE59A811C9C68EF01EDBC3D06D8B7C688B41861348FB24DB170CB71E70E1D6CA70294F5D2EAA06206A017264F31A415C16EBCf8O" TargetMode="External"/><Relationship Id="rId19" Type="http://schemas.openxmlformats.org/officeDocument/2006/relationships/hyperlink" Target="consultantplus://offline/ref=E3743D715CE75C924E35EA43364D44EC438ED1F66E99AAD7D981B330023EEC0B0DB336EF53A37953C06E34CD6BE5D68A54D6202A63D2F584dAv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05BEFC309ECA66F49B4639121A9BB53DE12D156AF2007D44A648AE5E48u6Q" TargetMode="External"/><Relationship Id="rId14" Type="http://schemas.openxmlformats.org/officeDocument/2006/relationships/hyperlink" Target="consultantplus://offline/ref=9F0EC34697822B8FF91CE20BD3F596E95E47F7BBF3C2C51EBE713E5D4076510FDF3761E4DF5EBBAA2C242B76EDF71EAF9C4BABBAB71179884Al6N" TargetMode="External"/><Relationship Id="rId22" Type="http://schemas.openxmlformats.org/officeDocument/2006/relationships/hyperlink" Target="consultantplus://offline/ref=E3743D715CE75C924E35EA43364D44EC438ED1F66E99AAD7D981B330023EEC0B0DB336EF53A37958C66E34CD6BE5D68A54D6202A63D2F584dAvF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Заключения о соответствии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138</c:v>
                </c:pt>
                <c:pt idx="1">
                  <c:v>147</c:v>
                </c:pt>
                <c:pt idx="2">
                  <c:v>128</c:v>
                </c:pt>
                <c:pt idx="3">
                  <c:v>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1663488"/>
        <c:axId val="165435008"/>
        <c:axId val="0"/>
      </c:bar3DChart>
      <c:catAx>
        <c:axId val="24166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435008"/>
        <c:crosses val="autoZero"/>
        <c:auto val="1"/>
        <c:lblAlgn val="ctr"/>
        <c:lblOffset val="100"/>
        <c:noMultiLvlLbl val="0"/>
      </c:catAx>
      <c:valAx>
        <c:axId val="165435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166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Отказы в выдаче заключений о соответствии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отказы в заключении о соответствии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акты проверок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акты проверок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акты проверок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акты проверок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846272"/>
        <c:axId val="116559808"/>
      </c:barChart>
      <c:catAx>
        <c:axId val="241846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6559808"/>
        <c:crosses val="autoZero"/>
        <c:auto val="1"/>
        <c:lblAlgn val="ctr"/>
        <c:lblOffset val="100"/>
        <c:noMultiLvlLbl val="0"/>
      </c:catAx>
      <c:valAx>
        <c:axId val="116559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184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выданных предписаний</a:t>
            </a:r>
            <a:endParaRPr lang="ru-RU"/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5462962962962962E-2"/>
          <c:y val="0.16656761654793151"/>
          <c:w val="0.85355442548848059"/>
          <c:h val="0.793749843769528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753</c:v>
                </c:pt>
                <c:pt idx="1">
                  <c:v>479</c:v>
                </c:pt>
                <c:pt idx="2">
                  <c:v>601</c:v>
                </c:pt>
                <c:pt idx="3">
                  <c:v>160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Иценко</dc:creator>
  <cp:lastModifiedBy>Анастасия Олеговна Иценко</cp:lastModifiedBy>
  <cp:revision>1</cp:revision>
  <dcterms:created xsi:type="dcterms:W3CDTF">2023-03-14T07:29:00Z</dcterms:created>
  <dcterms:modified xsi:type="dcterms:W3CDTF">2023-03-14T07:29:00Z</dcterms:modified>
</cp:coreProperties>
</file>